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ind w:left="238"/>
        <w:jc w:val="center"/>
        <w:outlineLvl w:val="0"/>
        <w:rPr>
          <w:rFonts w:ascii="宋体" w:hAnsi="宋体"/>
          <w:b/>
          <w:bCs/>
          <w:sz w:val="32"/>
          <w:szCs w:val="32"/>
        </w:rPr>
      </w:pPr>
      <w:r>
        <w:rPr>
          <w:rFonts w:hint="eastAsia" w:ascii="宋体" w:hAnsi="宋体"/>
          <w:b/>
          <w:bCs/>
          <w:sz w:val="32"/>
          <w:szCs w:val="32"/>
        </w:rPr>
        <w:t>采购需求</w:t>
      </w: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一</w:t>
      </w:r>
      <w:r>
        <w:rPr>
          <w:rFonts w:ascii="宋体" w:hAnsi="宋体"/>
          <w:b/>
          <w:sz w:val="21"/>
          <w:szCs w:val="21"/>
        </w:rPr>
        <w:t>、</w:t>
      </w:r>
      <w:r>
        <w:rPr>
          <w:rFonts w:hint="eastAsia" w:ascii="宋体" w:hAnsi="宋体"/>
          <w:b/>
          <w:sz w:val="21"/>
          <w:szCs w:val="21"/>
        </w:rPr>
        <w:t>为落实政府采购政策需满足的要求：</w:t>
      </w:r>
    </w:p>
    <w:tbl>
      <w:tblPr>
        <w:tblStyle w:val="3"/>
        <w:tblW w:w="94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3256"/>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bookmarkStart w:id="0" w:name="_Hlk45005599"/>
            <w:r>
              <w:rPr>
                <w:rFonts w:hint="eastAsia" w:ascii="宋体" w:hAnsi="宋体" w:cs="宋体"/>
                <w:b/>
                <w:bCs/>
                <w:sz w:val="21"/>
                <w:szCs w:val="21"/>
              </w:rPr>
              <w:t>序号</w:t>
            </w:r>
          </w:p>
        </w:tc>
        <w:tc>
          <w:tcPr>
            <w:tcW w:w="3256"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政策名称</w:t>
            </w:r>
          </w:p>
        </w:tc>
        <w:tc>
          <w:tcPr>
            <w:tcW w:w="5529"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1</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政府采购进口产品</w:t>
            </w:r>
          </w:p>
        </w:tc>
        <w:tc>
          <w:tcPr>
            <w:tcW w:w="5529"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不允许采购进口产品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2</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政府强制采购节能产品</w:t>
            </w:r>
          </w:p>
        </w:tc>
        <w:tc>
          <w:tcPr>
            <w:tcW w:w="5529"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3</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政府优先采购节能、环保产品</w:t>
            </w:r>
          </w:p>
        </w:tc>
        <w:tc>
          <w:tcPr>
            <w:tcW w:w="5529"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提供材料详见招标文件第六章“商务和技术文件”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4</w:t>
            </w:r>
          </w:p>
        </w:tc>
        <w:tc>
          <w:tcPr>
            <w:tcW w:w="3256" w:type="dxa"/>
            <w:vAlign w:val="center"/>
          </w:tcPr>
          <w:p>
            <w:pPr>
              <w:adjustRightInd w:val="0"/>
              <w:snapToGrid w:val="0"/>
              <w:spacing w:line="288" w:lineRule="auto"/>
              <w:jc w:val="left"/>
              <w:rPr>
                <w:rFonts w:ascii="宋体" w:hAnsi="宋体" w:cs="宋体"/>
                <w:sz w:val="21"/>
                <w:szCs w:val="16"/>
              </w:rPr>
            </w:pPr>
            <w:r>
              <w:rPr>
                <w:rFonts w:hint="eastAsia" w:ascii="宋体" w:hAnsi="宋体" w:cs="宋体"/>
                <w:sz w:val="21"/>
                <w:szCs w:val="16"/>
              </w:rPr>
              <w:t>政府采购支持科技创新</w:t>
            </w:r>
          </w:p>
        </w:tc>
        <w:tc>
          <w:tcPr>
            <w:tcW w:w="5529" w:type="dxa"/>
            <w:vAlign w:val="center"/>
          </w:tcPr>
          <w:p>
            <w:pPr>
              <w:adjustRightInd w:val="0"/>
              <w:snapToGrid w:val="0"/>
              <w:spacing w:line="288" w:lineRule="auto"/>
              <w:jc w:val="left"/>
              <w:rPr>
                <w:rFonts w:ascii="宋体" w:hAnsi="宋体" w:cs="宋体"/>
                <w:sz w:val="21"/>
                <w:szCs w:val="16"/>
              </w:rPr>
            </w:pPr>
            <w:r>
              <w:rPr>
                <w:rFonts w:hint="eastAsia" w:ascii="宋体" w:hAnsi="宋体" w:cs="宋体"/>
                <w:sz w:val="21"/>
                <w:szCs w:val="16"/>
              </w:rPr>
              <w:t>提供材料详见招标文件第六章“商务和技术文件”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5</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政府采购促进中小企业发展</w:t>
            </w:r>
          </w:p>
        </w:tc>
        <w:tc>
          <w:tcPr>
            <w:tcW w:w="5529"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提供材料详见招标文件第六章“资格文件”</w:t>
            </w:r>
          </w:p>
          <w:p>
            <w:pPr>
              <w:adjustRightInd w:val="0"/>
              <w:snapToGrid w:val="0"/>
              <w:spacing w:line="288" w:lineRule="auto"/>
              <w:jc w:val="left"/>
              <w:rPr>
                <w:rFonts w:ascii="宋体" w:hAnsi="宋体"/>
                <w:b/>
                <w:bCs/>
                <w:sz w:val="21"/>
                <w:szCs w:val="21"/>
              </w:rPr>
            </w:pPr>
            <w:r>
              <w:rPr>
                <w:rFonts w:hint="eastAsia" w:ascii="宋体" w:hAnsi="宋体"/>
                <w:b/>
                <w:bCs/>
                <w:sz w:val="21"/>
                <w:szCs w:val="21"/>
              </w:rPr>
              <w:t>本项目属性为：货物</w:t>
            </w:r>
          </w:p>
          <w:p>
            <w:pPr>
              <w:adjustRightInd w:val="0"/>
              <w:snapToGrid w:val="0"/>
              <w:spacing w:line="288" w:lineRule="auto"/>
              <w:jc w:val="left"/>
              <w:rPr>
                <w:rFonts w:ascii="宋体" w:hAnsi="宋体"/>
                <w:b/>
                <w:bCs/>
                <w:sz w:val="21"/>
                <w:szCs w:val="21"/>
              </w:rPr>
            </w:pPr>
            <w:r>
              <w:rPr>
                <w:rFonts w:hint="eastAsia" w:ascii="宋体" w:hAnsi="宋体"/>
                <w:b/>
                <w:bCs/>
                <w:sz w:val="21"/>
                <w:szCs w:val="21"/>
              </w:rPr>
              <w:t>采购标的对应的中小企业划分标准所属行业：软件和信息技术服务业</w:t>
            </w:r>
          </w:p>
          <w:p>
            <w:pPr>
              <w:adjustRightInd w:val="0"/>
              <w:snapToGrid w:val="0"/>
              <w:spacing w:line="288" w:lineRule="auto"/>
              <w:jc w:val="left"/>
              <w:rPr>
                <w:rFonts w:ascii="宋体" w:hAnsi="宋体" w:cs="宋体"/>
                <w:b/>
                <w:bCs/>
                <w:sz w:val="21"/>
                <w:szCs w:val="21"/>
              </w:rPr>
            </w:pPr>
            <w:r>
              <w:rPr>
                <w:rFonts w:hint="eastAsia" w:ascii="宋体" w:hAnsi="宋体"/>
                <w:b/>
                <w:bCs/>
                <w:sz w:val="21"/>
                <w:szCs w:val="21"/>
              </w:rPr>
              <w:t>中小企业划型标准：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6</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政府采购支持监狱企业发展</w:t>
            </w:r>
          </w:p>
        </w:tc>
        <w:tc>
          <w:tcPr>
            <w:tcW w:w="5529" w:type="dxa"/>
            <w:vAlign w:val="center"/>
          </w:tcPr>
          <w:p>
            <w:pPr>
              <w:adjustRightInd w:val="0"/>
              <w:snapToGrid w:val="0"/>
              <w:spacing w:line="288" w:lineRule="auto"/>
              <w:jc w:val="left"/>
              <w:rPr>
                <w:rFonts w:ascii="宋体" w:hAnsi="宋体"/>
                <w:b/>
                <w:bCs/>
                <w:sz w:val="21"/>
                <w:szCs w:val="21"/>
              </w:rPr>
            </w:pPr>
            <w:r>
              <w:rPr>
                <w:rFonts w:hint="eastAsia" w:ascii="宋体" w:hAnsi="宋体" w:cs="宋体"/>
                <w:sz w:val="21"/>
                <w:szCs w:val="21"/>
              </w:rPr>
              <w:t>提供材料详见招标文件第六章“资格文件”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7</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政府采购促进残疾人就业</w:t>
            </w:r>
          </w:p>
        </w:tc>
        <w:tc>
          <w:tcPr>
            <w:tcW w:w="5529"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提供材料详见招标文件第六章“资格文件”</w:t>
            </w:r>
          </w:p>
        </w:tc>
      </w:tr>
      <w:bookmarkEnd w:id="0"/>
    </w:tbl>
    <w:p>
      <w:pPr>
        <w:adjustRightInd w:val="0"/>
        <w:snapToGrid w:val="0"/>
        <w:spacing w:line="288" w:lineRule="auto"/>
        <w:rPr>
          <w:rFonts w:ascii="宋体" w:hAnsi="宋体"/>
          <w:sz w:val="21"/>
          <w:szCs w:val="21"/>
        </w:rPr>
      </w:pPr>
    </w:p>
    <w:p>
      <w:pPr>
        <w:adjustRightInd w:val="0"/>
        <w:snapToGrid w:val="0"/>
        <w:spacing w:line="288" w:lineRule="auto"/>
        <w:outlineLvl w:val="1"/>
        <w:rPr>
          <w:rFonts w:ascii="宋体" w:hAnsi="宋体"/>
          <w:b/>
          <w:sz w:val="21"/>
          <w:szCs w:val="21"/>
          <w:highlight w:val="yellow"/>
        </w:rPr>
      </w:pPr>
      <w:r>
        <w:rPr>
          <w:rFonts w:hint="eastAsia" w:ascii="宋体" w:hAnsi="宋体"/>
          <w:b/>
          <w:sz w:val="21"/>
          <w:szCs w:val="21"/>
        </w:rPr>
        <w:t>二</w:t>
      </w:r>
      <w:r>
        <w:rPr>
          <w:rFonts w:ascii="宋体" w:hAnsi="宋体"/>
          <w:b/>
          <w:sz w:val="21"/>
          <w:szCs w:val="21"/>
        </w:rPr>
        <w:t>、</w:t>
      </w:r>
      <w:r>
        <w:rPr>
          <w:rFonts w:hint="eastAsia" w:ascii="宋体" w:hAnsi="宋体"/>
          <w:b/>
          <w:sz w:val="21"/>
          <w:szCs w:val="21"/>
        </w:rPr>
        <w:t>采购资金的支付方式、时间、条件：</w:t>
      </w:r>
    </w:p>
    <w:tbl>
      <w:tblPr>
        <w:tblStyle w:val="3"/>
        <w:tblW w:w="9493"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43"/>
        <w:gridCol w:w="76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b/>
                <w:spacing w:val="-6"/>
                <w:sz w:val="21"/>
                <w:szCs w:val="21"/>
              </w:rPr>
            </w:pPr>
            <w:bookmarkStart w:id="1" w:name="_Hlk45005608"/>
            <w:r>
              <w:rPr>
                <w:rFonts w:hint="eastAsia" w:ascii="宋体" w:hAnsi="宋体"/>
                <w:b/>
                <w:spacing w:val="-6"/>
                <w:sz w:val="21"/>
                <w:szCs w:val="21"/>
              </w:rPr>
              <w:t>付款方式</w:t>
            </w:r>
          </w:p>
        </w:tc>
        <w:tc>
          <w:tcPr>
            <w:tcW w:w="765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1、货款支付方式：</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国产设备及境内直接供货的进口设备：货到经安装调试，用户认定合格后，凭用户出具的安装调试报告支付90%货款；验收合格后凭用户出具的验收报告支付10%。</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2、货款的结算：</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国产设备及境内直接供货的进口设备货款由需方负责支付。</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开票信息：开具增值税专用发票；</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抬头：浙江大学</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纳税人识别号：12100000470095016Q</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地址：杭州市余杭塘路866号，电话88981919</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开户行：农行杭州市浙大支行紫金港支行</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账号：19042201040000014</w:t>
            </w:r>
          </w:p>
          <w:p>
            <w:pPr>
              <w:autoSpaceDE w:val="0"/>
              <w:autoSpaceDN w:val="0"/>
              <w:adjustRightInd w:val="0"/>
              <w:snapToGrid w:val="0"/>
              <w:spacing w:line="288" w:lineRule="auto"/>
              <w:jc w:val="left"/>
              <w:rPr>
                <w:rFonts w:ascii="宋体" w:hAnsi="宋体" w:cs="宋体"/>
                <w:spacing w:val="-6"/>
                <w:kern w:val="0"/>
                <w:sz w:val="21"/>
                <w:szCs w:val="21"/>
                <w:highlight w:val="yellow"/>
              </w:rPr>
            </w:pPr>
            <w:r>
              <w:rPr>
                <w:rFonts w:hint="eastAsia" w:ascii="宋体" w:hAnsi="宋体" w:cs="宋体"/>
                <w:spacing w:val="-6"/>
                <w:kern w:val="0"/>
                <w:sz w:val="21"/>
                <w:szCs w:val="21"/>
              </w:rPr>
              <w:t>行号：103331004223</w:t>
            </w:r>
          </w:p>
        </w:tc>
      </w:tr>
      <w:bookmarkEnd w:id="1"/>
    </w:tbl>
    <w:p>
      <w:pPr>
        <w:adjustRightInd w:val="0"/>
        <w:snapToGrid w:val="0"/>
        <w:spacing w:line="288" w:lineRule="auto"/>
        <w:ind w:left="238" w:hanging="238" w:hangingChars="113"/>
        <w:rPr>
          <w:rFonts w:ascii="宋体" w:hAnsi="宋体"/>
          <w:b/>
          <w:sz w:val="21"/>
          <w:szCs w:val="21"/>
        </w:rPr>
      </w:pP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三</w:t>
      </w:r>
      <w:r>
        <w:rPr>
          <w:rFonts w:ascii="宋体" w:hAnsi="宋体"/>
          <w:b/>
          <w:sz w:val="21"/>
          <w:szCs w:val="21"/>
        </w:rPr>
        <w:t>、</w:t>
      </w:r>
      <w:r>
        <w:rPr>
          <w:rFonts w:hint="eastAsia" w:ascii="宋体" w:hAnsi="宋体"/>
          <w:b/>
          <w:sz w:val="21"/>
          <w:szCs w:val="21"/>
        </w:rPr>
        <w:t>服务</w:t>
      </w:r>
      <w:r>
        <w:rPr>
          <w:rFonts w:ascii="宋体" w:hAnsi="宋体"/>
          <w:b/>
          <w:sz w:val="21"/>
          <w:szCs w:val="21"/>
        </w:rPr>
        <w:t>要求</w:t>
      </w:r>
      <w:r>
        <w:rPr>
          <w:rFonts w:hint="eastAsia" w:ascii="宋体" w:hAnsi="宋体"/>
          <w:b/>
          <w:spacing w:val="-6"/>
          <w:sz w:val="21"/>
          <w:szCs w:val="21"/>
        </w:rPr>
        <w:t>（技术要求里另有注明的以技术要求为准）</w:t>
      </w:r>
      <w:r>
        <w:rPr>
          <w:rFonts w:ascii="宋体" w:hAnsi="宋体"/>
          <w:b/>
          <w:sz w:val="21"/>
          <w:szCs w:val="21"/>
        </w:rPr>
        <w:t>：</w:t>
      </w:r>
    </w:p>
    <w:tbl>
      <w:tblPr>
        <w:tblStyle w:val="3"/>
        <w:tblW w:w="9498"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43"/>
        <w:gridCol w:w="7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交付时间</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hint="eastAsia" w:ascii="宋体" w:hAnsi="宋体" w:cs="宋体"/>
                <w:sz w:val="21"/>
                <w:szCs w:val="21"/>
              </w:rPr>
              <w:t>合同签订后6</w:t>
            </w:r>
            <w:r>
              <w:rPr>
                <w:rFonts w:ascii="宋体" w:hAnsi="宋体" w:cs="宋体"/>
                <w:sz w:val="21"/>
                <w:szCs w:val="21"/>
              </w:rPr>
              <w:t>0</w:t>
            </w:r>
            <w:r>
              <w:rPr>
                <w:rFonts w:hint="eastAsia" w:ascii="宋体" w:hAnsi="宋体" w:cs="宋体"/>
                <w:sz w:val="21"/>
                <w:szCs w:val="21"/>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交付地点</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hint="eastAsia" w:ascii="宋体" w:hAnsi="宋体" w:cs="宋体"/>
                <w:sz w:val="21"/>
                <w:szCs w:val="21"/>
              </w:rPr>
              <w:t>港珠澳大桥管理局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w:t>
            </w:r>
            <w:r>
              <w:rPr>
                <w:rFonts w:hint="eastAsia" w:ascii="宋体" w:hAnsi="宋体" w:cs="宋体"/>
                <w:b/>
                <w:bCs/>
                <w:sz w:val="21"/>
                <w:szCs w:val="21"/>
              </w:rPr>
              <w:t>质保期</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hint="eastAsia" w:ascii="宋体" w:hAnsi="宋体" w:cs="宋体"/>
                <w:sz w:val="21"/>
                <w:szCs w:val="21"/>
                <w:lang w:val="en-US" w:eastAsia="zh-CN"/>
              </w:rPr>
              <w:t>2</w:t>
            </w:r>
            <w:r>
              <w:rPr>
                <w:rFonts w:hint="eastAsia" w:ascii="宋体" w:hAnsi="宋体" w:cs="宋体"/>
                <w:sz w:val="21"/>
                <w:szCs w:val="21"/>
              </w:rPr>
              <w:t>年，项目验收合格后开始计算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服务标准、期限、效率</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ascii="宋体" w:hAnsi="宋体" w:cs="宋体"/>
                <w:sz w:val="21"/>
                <w:szCs w:val="21"/>
              </w:rPr>
              <w:t>1</w:t>
            </w:r>
            <w:r>
              <w:rPr>
                <w:rFonts w:hint="eastAsia" w:ascii="宋体" w:hAnsi="宋体" w:cs="宋体"/>
                <w:sz w:val="21"/>
                <w:szCs w:val="21"/>
              </w:rPr>
              <w:t>.在质保期内，供应商应对货物出现的质量及安全问题负责处理解决并承担一切费用。</w:t>
            </w:r>
          </w:p>
          <w:p>
            <w:pPr>
              <w:adjustRightInd w:val="0"/>
              <w:snapToGrid w:val="0"/>
              <w:spacing w:line="288" w:lineRule="auto"/>
              <w:rPr>
                <w:rFonts w:ascii="宋体" w:hAnsi="宋体" w:cs="宋体"/>
                <w:sz w:val="21"/>
                <w:szCs w:val="21"/>
              </w:rPr>
            </w:pPr>
            <w:r>
              <w:rPr>
                <w:rFonts w:ascii="宋体" w:hAnsi="宋体" w:cs="宋体"/>
                <w:sz w:val="21"/>
                <w:szCs w:val="21"/>
              </w:rPr>
              <w:t>2.</w:t>
            </w:r>
            <w:r>
              <w:rPr>
                <w:rFonts w:hint="eastAsia" w:ascii="宋体" w:hAnsi="宋体" w:cs="宋体"/>
                <w:sz w:val="21"/>
                <w:szCs w:val="21"/>
              </w:rPr>
              <w:t>质保期内出现无法排除的故障，供应商需无条件更换同型号产品。</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质保期满后，供应商继续为采购人服务，仅收取零配件成本费。</w:t>
            </w:r>
          </w:p>
          <w:p>
            <w:pPr>
              <w:adjustRightInd w:val="0"/>
              <w:snapToGrid w:val="0"/>
              <w:spacing w:line="288" w:lineRule="auto"/>
              <w:rPr>
                <w:rFonts w:ascii="宋体" w:hAnsi="宋体" w:cs="宋体"/>
                <w:sz w:val="21"/>
                <w:szCs w:val="21"/>
              </w:rPr>
            </w:pPr>
            <w:r>
              <w:rPr>
                <w:rFonts w:ascii="宋体" w:hAnsi="宋体" w:cs="宋体"/>
                <w:sz w:val="21"/>
                <w:szCs w:val="21"/>
              </w:rPr>
              <w:t>4.</w:t>
            </w:r>
            <w:r>
              <w:rPr>
                <w:rFonts w:hint="eastAsia" w:ascii="宋体" w:hAnsi="宋体" w:cs="宋体"/>
                <w:sz w:val="21"/>
                <w:szCs w:val="21"/>
              </w:rPr>
              <w:t>因人为因素出现的故障不在免费保修范围内。</w:t>
            </w:r>
          </w:p>
          <w:p>
            <w:pPr>
              <w:adjustRightInd w:val="0"/>
              <w:snapToGrid w:val="0"/>
              <w:spacing w:line="288" w:lineRule="auto"/>
              <w:rPr>
                <w:rFonts w:ascii="宋体" w:hAnsi="宋体" w:cs="宋体"/>
                <w:sz w:val="21"/>
                <w:szCs w:val="21"/>
              </w:rPr>
            </w:pPr>
            <w:r>
              <w:rPr>
                <w:rFonts w:ascii="宋体" w:hAnsi="宋体" w:cs="宋体"/>
                <w:sz w:val="21"/>
                <w:szCs w:val="21"/>
              </w:rPr>
              <w:t>5</w:t>
            </w:r>
            <w:r>
              <w:rPr>
                <w:rFonts w:hint="eastAsia" w:ascii="宋体" w:hAnsi="宋体" w:cs="宋体"/>
                <w:sz w:val="21"/>
                <w:szCs w:val="21"/>
              </w:rPr>
              <w:t>.如在使用过程中发生质量问题，供应商维修响应时间：2小时以内；</w:t>
            </w:r>
          </w:p>
          <w:p>
            <w:pPr>
              <w:adjustRightInd w:val="0"/>
              <w:snapToGrid w:val="0"/>
              <w:spacing w:line="288" w:lineRule="auto"/>
              <w:rPr>
                <w:rFonts w:ascii="宋体" w:hAnsi="宋体" w:cs="宋体"/>
                <w:sz w:val="21"/>
                <w:szCs w:val="21"/>
              </w:rPr>
            </w:pPr>
            <w:r>
              <w:rPr>
                <w:rFonts w:hint="eastAsia" w:ascii="宋体" w:hAnsi="宋体" w:cs="宋体"/>
                <w:sz w:val="21"/>
                <w:szCs w:val="21"/>
              </w:rPr>
              <w:t>电话技术支持时间：2小时以内；</w:t>
            </w:r>
          </w:p>
          <w:p>
            <w:pPr>
              <w:adjustRightInd w:val="0"/>
              <w:snapToGrid w:val="0"/>
              <w:spacing w:line="288" w:lineRule="auto"/>
              <w:rPr>
                <w:rFonts w:ascii="宋体" w:hAnsi="宋体" w:cs="宋体"/>
                <w:sz w:val="21"/>
                <w:szCs w:val="21"/>
              </w:rPr>
            </w:pPr>
            <w:r>
              <w:rPr>
                <w:rFonts w:hint="eastAsia" w:ascii="宋体" w:hAnsi="宋体" w:cs="宋体"/>
                <w:sz w:val="21"/>
                <w:szCs w:val="21"/>
              </w:rPr>
              <w:t>若需上门维修，则在48小时内到达现场并进行维修；</w:t>
            </w:r>
            <w:r>
              <w:rPr>
                <w:rFonts w:ascii="宋体" w:hAnsi="宋体"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验收标准</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cs="宋体"/>
                <w:sz w:val="21"/>
                <w:szCs w:val="21"/>
              </w:rPr>
              <w:t>1.验收由采购人负责实施；</w:t>
            </w:r>
          </w:p>
          <w:p>
            <w:pPr>
              <w:adjustRightInd w:val="0"/>
              <w:snapToGrid w:val="0"/>
              <w:spacing w:line="288" w:lineRule="auto"/>
              <w:rPr>
                <w:rFonts w:ascii="宋体" w:hAnsi="宋体" w:cs="宋体"/>
                <w:sz w:val="21"/>
                <w:szCs w:val="21"/>
              </w:rPr>
            </w:pPr>
            <w:r>
              <w:rPr>
                <w:rFonts w:hint="eastAsia" w:ascii="宋体" w:hAnsi="宋体" w:cs="宋体"/>
                <w:sz w:val="21"/>
                <w:szCs w:val="21"/>
              </w:rPr>
              <w:t>2.验收依据：</w:t>
            </w:r>
          </w:p>
          <w:p>
            <w:pPr>
              <w:adjustRightInd w:val="0"/>
              <w:snapToGrid w:val="0"/>
              <w:spacing w:line="288" w:lineRule="auto"/>
              <w:rPr>
                <w:rFonts w:ascii="宋体" w:hAnsi="宋体" w:cs="宋体"/>
                <w:sz w:val="21"/>
                <w:szCs w:val="21"/>
              </w:rPr>
            </w:pPr>
            <w:r>
              <w:rPr>
                <w:rFonts w:hint="eastAsia" w:ascii="宋体" w:hAnsi="宋体" w:cs="宋体"/>
                <w:sz w:val="21"/>
                <w:szCs w:val="21"/>
              </w:rPr>
              <w:t>2.1合同、招标文件、投标文件；</w:t>
            </w:r>
          </w:p>
          <w:p>
            <w:pPr>
              <w:adjustRightInd w:val="0"/>
              <w:snapToGrid w:val="0"/>
              <w:spacing w:line="288" w:lineRule="auto"/>
              <w:rPr>
                <w:rFonts w:ascii="宋体" w:hAnsi="宋体" w:cs="宋体"/>
                <w:sz w:val="21"/>
                <w:szCs w:val="21"/>
              </w:rPr>
            </w:pPr>
            <w:r>
              <w:rPr>
                <w:rFonts w:hint="eastAsia" w:ascii="宋体" w:hAnsi="宋体" w:cs="宋体"/>
                <w:sz w:val="21"/>
                <w:szCs w:val="21"/>
              </w:rPr>
              <w:t>2.2供应商提供的技术规格、经采购人认可的合同货物的有效检验文件；</w:t>
            </w:r>
          </w:p>
          <w:p>
            <w:pPr>
              <w:adjustRightInd w:val="0"/>
              <w:snapToGrid w:val="0"/>
              <w:spacing w:line="288" w:lineRule="auto"/>
              <w:rPr>
                <w:rFonts w:ascii="宋体" w:hAnsi="宋体" w:cs="宋体"/>
                <w:sz w:val="21"/>
                <w:szCs w:val="21"/>
              </w:rPr>
            </w:pPr>
            <w:r>
              <w:rPr>
                <w:rFonts w:hint="eastAsia" w:ascii="宋体" w:hAnsi="宋体" w:cs="宋体"/>
                <w:sz w:val="21"/>
                <w:szCs w:val="21"/>
              </w:rPr>
              <w:t>2.3供应商投标文件中提供的经采购人认可的合同货物的验收标准（符合中国有关的国家、地方、行业标准）和检测办法及相应检测手段。</w:t>
            </w:r>
          </w:p>
          <w:p>
            <w:pPr>
              <w:adjustRightInd w:val="0"/>
              <w:snapToGrid w:val="0"/>
              <w:spacing w:line="288" w:lineRule="auto"/>
              <w:rPr>
                <w:rFonts w:ascii="宋体" w:hAnsi="宋体" w:cs="宋体"/>
                <w:sz w:val="21"/>
                <w:szCs w:val="21"/>
              </w:rPr>
            </w:pPr>
            <w:r>
              <w:rPr>
                <w:rFonts w:hint="eastAsia" w:ascii="宋体" w:hAnsi="宋体" w:cs="宋体"/>
                <w:sz w:val="21"/>
                <w:szCs w:val="21"/>
              </w:rPr>
              <w:t>3.供应商应派员在所供货物到采购人处时进行到货验收，有需要时能联系产品制造商到场共同验收，若发现任何损坏及质量问题，供应商负责妥善处理直至采购人满意，由此产生的费用由供应商承担。</w:t>
            </w:r>
          </w:p>
          <w:p>
            <w:pPr>
              <w:adjustRightInd w:val="0"/>
              <w:snapToGrid w:val="0"/>
              <w:spacing w:line="288" w:lineRule="auto"/>
              <w:rPr>
                <w:rFonts w:ascii="宋体" w:hAnsi="宋体" w:cs="宋体"/>
                <w:sz w:val="21"/>
                <w:szCs w:val="21"/>
              </w:rPr>
            </w:pPr>
            <w:r>
              <w:rPr>
                <w:rFonts w:hint="eastAsia" w:ascii="宋体" w:hAnsi="宋体" w:cs="宋体"/>
                <w:sz w:val="21"/>
                <w:szCs w:val="21"/>
              </w:rPr>
              <w:t>4.验收合格的条件：</w:t>
            </w:r>
          </w:p>
          <w:p>
            <w:pPr>
              <w:adjustRightInd w:val="0"/>
              <w:snapToGrid w:val="0"/>
              <w:spacing w:line="288" w:lineRule="auto"/>
              <w:rPr>
                <w:rFonts w:ascii="宋体" w:hAnsi="宋体" w:cs="宋体"/>
                <w:sz w:val="21"/>
                <w:szCs w:val="21"/>
              </w:rPr>
            </w:pPr>
            <w:r>
              <w:rPr>
                <w:rFonts w:hint="eastAsia" w:ascii="宋体" w:hAnsi="宋体" w:cs="宋体"/>
                <w:sz w:val="21"/>
                <w:szCs w:val="21"/>
              </w:rPr>
              <w:t>4.1所供货物符合产品标准和合同的要求；</w:t>
            </w:r>
          </w:p>
          <w:p>
            <w:pPr>
              <w:adjustRightInd w:val="0"/>
              <w:snapToGrid w:val="0"/>
              <w:spacing w:line="288" w:lineRule="auto"/>
              <w:rPr>
                <w:rFonts w:ascii="宋体" w:hAnsi="宋体" w:cs="宋体"/>
                <w:sz w:val="21"/>
                <w:szCs w:val="21"/>
              </w:rPr>
            </w:pPr>
            <w:r>
              <w:rPr>
                <w:rFonts w:hint="eastAsia" w:ascii="宋体" w:hAnsi="宋体" w:cs="宋体"/>
                <w:sz w:val="21"/>
                <w:szCs w:val="21"/>
              </w:rPr>
              <w:t>4.2在进行测试和验收过程中发现的问题已被解决并得到采购人的认可；</w:t>
            </w:r>
          </w:p>
          <w:p>
            <w:pPr>
              <w:adjustRightInd w:val="0"/>
              <w:snapToGrid w:val="0"/>
              <w:spacing w:line="288" w:lineRule="auto"/>
              <w:rPr>
                <w:rFonts w:ascii="宋体" w:hAnsi="宋体" w:cs="宋体"/>
                <w:sz w:val="21"/>
                <w:szCs w:val="21"/>
              </w:rPr>
            </w:pPr>
            <w:r>
              <w:rPr>
                <w:rFonts w:hint="eastAsia" w:ascii="宋体" w:hAnsi="宋体" w:cs="宋体"/>
                <w:sz w:val="21"/>
                <w:szCs w:val="21"/>
              </w:rPr>
              <w:t>4.3合同中规定的所有货物和材料均已交付；</w:t>
            </w:r>
          </w:p>
          <w:p>
            <w:pPr>
              <w:adjustRightInd w:val="0"/>
              <w:snapToGrid w:val="0"/>
              <w:spacing w:line="288" w:lineRule="auto"/>
              <w:rPr>
                <w:rFonts w:ascii="宋体" w:hAnsi="宋体" w:cs="宋体"/>
                <w:sz w:val="21"/>
                <w:szCs w:val="21"/>
              </w:rPr>
            </w:pPr>
            <w:r>
              <w:rPr>
                <w:rFonts w:hint="eastAsia" w:ascii="宋体" w:hAnsi="宋体" w:cs="宋体"/>
                <w:sz w:val="21"/>
                <w:szCs w:val="21"/>
              </w:rPr>
              <w:t>4.4所供货物已通过使用单位组织的验收；</w:t>
            </w:r>
          </w:p>
          <w:p>
            <w:pPr>
              <w:adjustRightInd w:val="0"/>
              <w:snapToGrid w:val="0"/>
              <w:spacing w:line="288" w:lineRule="auto"/>
              <w:rPr>
                <w:rFonts w:ascii="宋体" w:hAnsi="宋体" w:cs="宋体"/>
                <w:sz w:val="21"/>
                <w:szCs w:val="21"/>
              </w:rPr>
            </w:pPr>
            <w:r>
              <w:rPr>
                <w:rFonts w:hint="eastAsia" w:ascii="宋体" w:hAnsi="宋体" w:cs="宋体"/>
                <w:sz w:val="21"/>
                <w:szCs w:val="21"/>
              </w:rPr>
              <w:t>4.5所有相关的技术文件及资料均已提交并得到接受。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其他技术、服务要求</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cs="宋体"/>
                <w:sz w:val="21"/>
                <w:szCs w:val="21"/>
              </w:rPr>
              <w:t>1</w:t>
            </w:r>
            <w:r>
              <w:rPr>
                <w:rFonts w:ascii="宋体" w:hAnsi="宋体" w:cs="宋体"/>
                <w:sz w:val="21"/>
                <w:szCs w:val="21"/>
              </w:rPr>
              <w:t>.</w:t>
            </w:r>
            <w:r>
              <w:rPr>
                <w:rFonts w:hint="eastAsia" w:ascii="宋体" w:hAnsi="宋体" w:cs="宋体"/>
                <w:sz w:val="21"/>
                <w:szCs w:val="21"/>
              </w:rPr>
              <w:t>供应商应按招标文件规定的货物性能、技术要求、质量标准向采购人提供未经使用的全新产品，符合国家法律规定和技术规格、质量标准的出厂原装合格产品。</w:t>
            </w:r>
          </w:p>
          <w:p>
            <w:pPr>
              <w:adjustRightInd w:val="0"/>
              <w:snapToGrid w:val="0"/>
              <w:spacing w:line="288" w:lineRule="auto"/>
              <w:rPr>
                <w:rFonts w:ascii="宋体" w:hAnsi="宋体" w:cs="宋体"/>
                <w:sz w:val="21"/>
                <w:szCs w:val="21"/>
              </w:rPr>
            </w:pPr>
            <w:r>
              <w:rPr>
                <w:rFonts w:ascii="宋体" w:hAnsi="宋体" w:cs="宋体"/>
                <w:sz w:val="21"/>
                <w:szCs w:val="21"/>
              </w:rPr>
              <w:t>2</w:t>
            </w:r>
            <w:r>
              <w:rPr>
                <w:rFonts w:hint="eastAsia" w:ascii="宋体" w:hAnsi="宋体" w:cs="宋体"/>
                <w:sz w:val="21"/>
                <w:szCs w:val="21"/>
              </w:rPr>
              <w:t>.技术支持：</w:t>
            </w:r>
          </w:p>
          <w:p>
            <w:pPr>
              <w:adjustRightInd w:val="0"/>
              <w:snapToGrid w:val="0"/>
              <w:spacing w:line="288" w:lineRule="auto"/>
              <w:rPr>
                <w:rFonts w:ascii="宋体" w:hAnsi="宋体" w:cs="宋体"/>
                <w:sz w:val="21"/>
                <w:szCs w:val="21"/>
              </w:rPr>
            </w:pPr>
            <w:r>
              <w:rPr>
                <w:rFonts w:hint="eastAsia" w:ascii="宋体" w:hAnsi="宋体" w:cs="宋体"/>
                <w:sz w:val="21"/>
                <w:szCs w:val="21"/>
              </w:rPr>
              <w:t>供应商应及时免费提供合同货物软件的升级，免费提供合同货物新功能和应用的资料。</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.安装调试：</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.1安装地点：采购人指定地点；</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.2安装完成时间：接到采购人通知后在规定时间内完成安装和调试，如在规定的时间内由于供应商的原因不能完成安装和调试，供应商应承担由此给采购人造成的损失；</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.3如供应商委托国内代理（或其他机构）负责安装或配合安装应在签约时指明，但供应商仍要对合同货物及其安装质量负全部责任；</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.4安装标准：符合我国国家有关技术规范要求和技术标准，所有的软件和硬件必须保证同时安装到位；</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.5供应商免费提供合同货物的安装服务；</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.6供应商在投标文件中应提供安装调试计划、对安装场地和环境的要求。</w:t>
            </w:r>
          </w:p>
          <w:p>
            <w:pPr>
              <w:adjustRightInd w:val="0"/>
              <w:snapToGrid w:val="0"/>
              <w:spacing w:line="288" w:lineRule="auto"/>
              <w:rPr>
                <w:rFonts w:ascii="宋体" w:hAnsi="宋体" w:cs="宋体"/>
                <w:sz w:val="21"/>
                <w:szCs w:val="21"/>
              </w:rPr>
            </w:pPr>
            <w:r>
              <w:rPr>
                <w:rFonts w:ascii="宋体" w:hAnsi="宋体" w:cs="宋体"/>
                <w:sz w:val="21"/>
                <w:szCs w:val="21"/>
              </w:rPr>
              <w:t>4</w:t>
            </w:r>
            <w:r>
              <w:rPr>
                <w:rFonts w:hint="eastAsia" w:ascii="宋体" w:hAnsi="宋体" w:cs="宋体"/>
                <w:sz w:val="21"/>
                <w:szCs w:val="21"/>
              </w:rPr>
              <w:t>.供应商应提供质保期满后主要零部件报价单、质保期满后维护费、软件升级及其相关服务内容；</w:t>
            </w:r>
          </w:p>
          <w:p>
            <w:pPr>
              <w:adjustRightInd w:val="0"/>
              <w:snapToGrid w:val="0"/>
              <w:spacing w:line="288" w:lineRule="auto"/>
              <w:rPr>
                <w:rFonts w:ascii="宋体" w:hAnsi="宋体" w:cs="宋体"/>
                <w:sz w:val="21"/>
                <w:szCs w:val="21"/>
              </w:rPr>
            </w:pPr>
            <w:r>
              <w:rPr>
                <w:rFonts w:ascii="宋体" w:hAnsi="宋体" w:cs="宋体"/>
                <w:sz w:val="21"/>
                <w:szCs w:val="21"/>
              </w:rPr>
              <w:t>5</w:t>
            </w:r>
            <w:r>
              <w:rPr>
                <w:rFonts w:hint="eastAsia" w:ascii="宋体" w:hAnsi="宋体" w:cs="宋体"/>
                <w:sz w:val="21"/>
                <w:szCs w:val="21"/>
              </w:rPr>
              <w:t>.供货时提供有关的全套技术文件。</w:t>
            </w:r>
          </w:p>
          <w:p>
            <w:pPr>
              <w:adjustRightInd w:val="0"/>
              <w:snapToGrid w:val="0"/>
              <w:spacing w:line="288" w:lineRule="auto"/>
              <w:rPr>
                <w:rFonts w:ascii="宋体" w:hAnsi="宋体" w:cs="宋体"/>
                <w:sz w:val="21"/>
                <w:szCs w:val="21"/>
              </w:rPr>
            </w:pPr>
            <w:r>
              <w:rPr>
                <w:rFonts w:hint="eastAsia" w:ascii="宋体" w:hAnsi="宋体" w:cs="宋体"/>
                <w:sz w:val="21"/>
                <w:szCs w:val="21"/>
              </w:rPr>
              <w:t>6</w:t>
            </w:r>
            <w:r>
              <w:rPr>
                <w:rFonts w:ascii="宋体" w:hAnsi="宋体" w:cs="宋体"/>
                <w:sz w:val="21"/>
                <w:szCs w:val="21"/>
              </w:rPr>
              <w:t>.</w:t>
            </w:r>
            <w:r>
              <w:rPr>
                <w:rFonts w:hint="eastAsia" w:ascii="宋体" w:hAnsi="宋体"/>
                <w:spacing w:val="-6"/>
                <w:sz w:val="21"/>
                <w:szCs w:val="21"/>
              </w:rPr>
              <w:t>供应商应保证所提供的货物或其中任何一部分均不会侵犯第三方的知识产权。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培训</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cs="宋体"/>
                <w:sz w:val="21"/>
                <w:szCs w:val="21"/>
              </w:rPr>
              <w:t>供应商应对采购人的操作人员、维修人员免费进行培训；</w:t>
            </w:r>
          </w:p>
          <w:p>
            <w:pPr>
              <w:adjustRightInd w:val="0"/>
              <w:snapToGrid w:val="0"/>
              <w:spacing w:line="288" w:lineRule="auto"/>
              <w:rPr>
                <w:rFonts w:ascii="宋体" w:hAnsi="宋体" w:cs="宋体"/>
                <w:sz w:val="21"/>
                <w:szCs w:val="21"/>
              </w:rPr>
            </w:pPr>
            <w:r>
              <w:rPr>
                <w:rFonts w:hint="eastAsia" w:ascii="宋体" w:hAnsi="宋体" w:cs="宋体"/>
                <w:sz w:val="21"/>
                <w:szCs w:val="21"/>
              </w:rPr>
              <w:t>供应商应提供相应的培训计划；</w:t>
            </w:r>
          </w:p>
          <w:p>
            <w:pPr>
              <w:adjustRightInd w:val="0"/>
              <w:snapToGrid w:val="0"/>
              <w:spacing w:line="288" w:lineRule="auto"/>
              <w:rPr>
                <w:rFonts w:ascii="宋体" w:hAnsi="宋体" w:cs="宋体"/>
                <w:sz w:val="21"/>
                <w:szCs w:val="21"/>
              </w:rPr>
            </w:pPr>
            <w:r>
              <w:rPr>
                <w:rFonts w:hint="eastAsia" w:ascii="宋体" w:hAnsi="宋体" w:cs="宋体"/>
                <w:sz w:val="21"/>
                <w:szCs w:val="21"/>
              </w:rPr>
              <w:t>上述内容的实现方式、时间、地点、人数应在投标文件中详细说明。</w:t>
            </w:r>
          </w:p>
        </w:tc>
      </w:tr>
    </w:tbl>
    <w:p>
      <w:pPr>
        <w:adjustRightInd w:val="0"/>
        <w:snapToGrid w:val="0"/>
        <w:spacing w:line="288" w:lineRule="auto"/>
        <w:ind w:left="238" w:hanging="238" w:hangingChars="113"/>
        <w:rPr>
          <w:rFonts w:ascii="宋体" w:hAnsi="宋体"/>
          <w:b/>
          <w:sz w:val="21"/>
          <w:szCs w:val="21"/>
        </w:rPr>
      </w:pP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四</w:t>
      </w:r>
      <w:r>
        <w:rPr>
          <w:rFonts w:ascii="宋体" w:hAnsi="宋体"/>
          <w:b/>
          <w:sz w:val="21"/>
          <w:szCs w:val="21"/>
        </w:rPr>
        <w:t>、技术要求</w:t>
      </w:r>
    </w:p>
    <w:p>
      <w:pPr>
        <w:adjustRightInd w:val="0"/>
        <w:snapToGrid w:val="0"/>
        <w:spacing w:line="288" w:lineRule="auto"/>
        <w:rPr>
          <w:rFonts w:ascii="宋体" w:hAnsi="宋体" w:cs="宋体"/>
          <w:b/>
          <w:bCs/>
          <w:sz w:val="21"/>
          <w:szCs w:val="21"/>
          <w:highlight w:val="yellow"/>
        </w:rPr>
      </w:pPr>
      <w:r>
        <w:rPr>
          <w:rFonts w:hint="eastAsia" w:ascii="宋体" w:hAnsi="宋体" w:cs="宋体"/>
          <w:b/>
          <w:bCs/>
          <w:sz w:val="21"/>
          <w:szCs w:val="21"/>
        </w:rPr>
        <w:t>1</w:t>
      </w:r>
      <w:r>
        <w:rPr>
          <w:rFonts w:ascii="宋体" w:hAnsi="宋体" w:cs="宋体"/>
          <w:b/>
          <w:bCs/>
          <w:sz w:val="21"/>
          <w:szCs w:val="21"/>
        </w:rPr>
        <w:t>.</w:t>
      </w:r>
      <w:r>
        <w:rPr>
          <w:rFonts w:hint="eastAsia" w:ascii="宋体" w:hAnsi="宋体" w:cs="宋体"/>
          <w:b/>
          <w:bCs/>
          <w:sz w:val="21"/>
          <w:szCs w:val="21"/>
        </w:rPr>
        <w:t>需执行的国家相关标准、行业标准、地方标准或者其他标准、规范：</w:t>
      </w:r>
      <w:bookmarkStart w:id="2" w:name="_Hlk94018176"/>
      <w:r>
        <w:rPr>
          <w:rFonts w:hint="eastAsia" w:ascii="宋体" w:hAnsi="宋体" w:cs="宋体"/>
          <w:sz w:val="21"/>
          <w:szCs w:val="21"/>
        </w:rPr>
        <w:t>如技术要求中未注明需执行的国家相关标准、行业标准、地方标准或者其他标准、规范的，执行最新标准、规范。</w:t>
      </w:r>
      <w:bookmarkEnd w:id="2"/>
    </w:p>
    <w:p>
      <w:pPr>
        <w:adjustRightInd w:val="0"/>
        <w:snapToGrid w:val="0"/>
        <w:spacing w:line="288" w:lineRule="auto"/>
        <w:rPr>
          <w:rFonts w:ascii="宋体" w:hAnsi="宋体" w:cs="宋体"/>
          <w:b/>
          <w:bCs/>
          <w:sz w:val="21"/>
          <w:szCs w:val="21"/>
        </w:rPr>
      </w:pPr>
      <w:r>
        <w:rPr>
          <w:rFonts w:ascii="宋体" w:hAnsi="宋体" w:cs="宋体"/>
          <w:b/>
          <w:bCs/>
          <w:sz w:val="21"/>
          <w:szCs w:val="21"/>
        </w:rPr>
        <w:t>2</w:t>
      </w:r>
      <w:r>
        <w:rPr>
          <w:rFonts w:hint="eastAsia" w:ascii="宋体" w:hAnsi="宋体" w:cs="宋体"/>
          <w:b/>
          <w:bCs/>
          <w:sz w:val="21"/>
          <w:szCs w:val="21"/>
        </w:rPr>
        <w:t>.需实现的功能或者目标：</w:t>
      </w:r>
      <w:r>
        <w:rPr>
          <w:rFonts w:hint="eastAsia" w:ascii="宋体" w:hAnsi="宋体" w:cs="宋体"/>
          <w:b w:val="0"/>
          <w:bCs w:val="0"/>
          <w:sz w:val="21"/>
          <w:szCs w:val="21"/>
        </w:rPr>
        <w:t>实现高精度北斗数据采集与处理，</w:t>
      </w:r>
      <w:r>
        <w:rPr>
          <w:rFonts w:hint="eastAsia" w:ascii="宋体" w:hAnsi="宋体" w:cs="宋体"/>
          <w:sz w:val="21"/>
          <w:szCs w:val="21"/>
        </w:rPr>
        <w:t>支持5G高效传输，提供</w:t>
      </w:r>
      <w:r>
        <w:rPr>
          <w:rFonts w:hint="eastAsia" w:ascii="宋体" w:hAnsi="宋体" w:cs="宋体"/>
          <w:b w:val="0"/>
          <w:bCs w:val="0"/>
          <w:sz w:val="21"/>
          <w:szCs w:val="21"/>
        </w:rPr>
        <w:t>与边缘计算系统</w:t>
      </w:r>
      <w:r>
        <w:rPr>
          <w:rFonts w:hint="eastAsia" w:ascii="宋体" w:hAnsi="宋体" w:cs="宋体"/>
          <w:sz w:val="21"/>
          <w:szCs w:val="21"/>
        </w:rPr>
        <w:t>的数据交换、时钟同步等软件接口。</w:t>
      </w:r>
    </w:p>
    <w:p>
      <w:pPr>
        <w:adjustRightInd w:val="0"/>
        <w:snapToGrid w:val="0"/>
        <w:spacing w:line="288" w:lineRule="auto"/>
        <w:rPr>
          <w:rFonts w:ascii="宋体" w:hAnsi="宋体"/>
          <w:b/>
          <w:bCs/>
          <w:spacing w:val="-4"/>
          <w:sz w:val="21"/>
          <w:szCs w:val="21"/>
        </w:rPr>
      </w:pPr>
      <w:r>
        <w:rPr>
          <w:rFonts w:ascii="宋体" w:hAnsi="宋体"/>
          <w:b/>
          <w:bCs/>
          <w:spacing w:val="-4"/>
          <w:sz w:val="21"/>
          <w:szCs w:val="21"/>
        </w:rPr>
        <w:t>3.</w:t>
      </w:r>
      <w:r>
        <w:rPr>
          <w:rFonts w:hint="eastAsia" w:ascii="宋体" w:hAnsi="宋体"/>
          <w:b/>
          <w:bCs/>
          <w:spacing w:val="-4"/>
          <w:sz w:val="21"/>
          <w:szCs w:val="21"/>
        </w:rPr>
        <w:t>需满足的质量、安全、技术规格、物理特性等要求：</w:t>
      </w:r>
    </w:p>
    <w:p>
      <w:pPr>
        <w:adjustRightInd w:val="0"/>
        <w:snapToGrid w:val="0"/>
        <w:spacing w:line="288" w:lineRule="auto"/>
        <w:rPr>
          <w:rFonts w:ascii="宋体" w:hAnsi="宋体"/>
          <w:b/>
          <w:bCs/>
          <w:sz w:val="21"/>
          <w:szCs w:val="21"/>
        </w:rPr>
      </w:pPr>
      <w:r>
        <w:rPr>
          <w:rFonts w:ascii="宋体" w:hAnsi="宋体"/>
          <w:b/>
          <w:bCs/>
          <w:sz w:val="21"/>
          <w:szCs w:val="21"/>
        </w:rPr>
        <w:t>3.1</w:t>
      </w:r>
      <w:r>
        <w:rPr>
          <w:rFonts w:hint="eastAsia" w:ascii="宋体" w:hAnsi="宋体"/>
          <w:b/>
          <w:bCs/>
          <w:sz w:val="21"/>
          <w:szCs w:val="21"/>
        </w:rPr>
        <w:t>软件信息</w:t>
      </w:r>
    </w:p>
    <w:p>
      <w:pPr>
        <w:adjustRightInd w:val="0"/>
        <w:snapToGrid w:val="0"/>
        <w:spacing w:line="288" w:lineRule="auto"/>
        <w:rPr>
          <w:rFonts w:ascii="宋体" w:hAnsi="宋体"/>
          <w:sz w:val="21"/>
          <w:szCs w:val="21"/>
        </w:rPr>
      </w:pPr>
      <w:r>
        <w:rPr>
          <w:rFonts w:hint="eastAsia" w:ascii="宋体" w:hAnsi="宋体"/>
          <w:sz w:val="21"/>
          <w:szCs w:val="21"/>
        </w:rPr>
        <w:t>软件名称：</w:t>
      </w:r>
      <w:r>
        <w:rPr>
          <w:rFonts w:ascii="宋体" w:hAnsi="宋体"/>
          <w:sz w:val="21"/>
          <w:szCs w:val="21"/>
        </w:rPr>
        <w:t>5G+北斗超高精度系统数据采集软件</w:t>
      </w:r>
      <w:r>
        <w:rPr>
          <w:rFonts w:hint="eastAsia" w:ascii="宋体" w:hAnsi="宋体"/>
          <w:sz w:val="21"/>
          <w:szCs w:val="21"/>
        </w:rPr>
        <w:t>。</w:t>
      </w:r>
    </w:p>
    <w:p>
      <w:pPr>
        <w:adjustRightInd w:val="0"/>
        <w:snapToGrid w:val="0"/>
        <w:spacing w:line="288" w:lineRule="auto"/>
        <w:rPr>
          <w:rFonts w:ascii="宋体" w:hAnsi="宋体"/>
          <w:b/>
          <w:bCs/>
          <w:sz w:val="21"/>
          <w:szCs w:val="21"/>
        </w:rPr>
      </w:pPr>
      <w:r>
        <w:rPr>
          <w:rFonts w:ascii="宋体" w:hAnsi="宋体"/>
          <w:b/>
          <w:bCs/>
          <w:sz w:val="21"/>
          <w:szCs w:val="21"/>
        </w:rPr>
        <w:t>3.2</w:t>
      </w:r>
      <w:r>
        <w:rPr>
          <w:rFonts w:hint="eastAsia" w:ascii="宋体" w:hAnsi="宋体"/>
          <w:b/>
          <w:bCs/>
          <w:sz w:val="21"/>
          <w:szCs w:val="21"/>
        </w:rPr>
        <w:t>软件技术要求说明</w:t>
      </w:r>
    </w:p>
    <w:p>
      <w:pPr>
        <w:adjustRightInd w:val="0"/>
        <w:snapToGrid w:val="0"/>
        <w:spacing w:line="288" w:lineRule="auto"/>
        <w:rPr>
          <w:rFonts w:ascii="宋体" w:hAnsi="宋体"/>
          <w:sz w:val="21"/>
          <w:szCs w:val="21"/>
        </w:rPr>
      </w:pPr>
      <w:r>
        <w:rPr>
          <w:rFonts w:hint="eastAsia" w:ascii="宋体" w:hAnsi="宋体"/>
          <w:sz w:val="21"/>
          <w:szCs w:val="21"/>
        </w:rPr>
        <w:t>3.2.1支持北斗系统卫星系统的24小时三维位移监测；</w:t>
      </w:r>
    </w:p>
    <w:p>
      <w:pPr>
        <w:adjustRightInd w:val="0"/>
        <w:snapToGrid w:val="0"/>
        <w:spacing w:line="288" w:lineRule="auto"/>
        <w:rPr>
          <w:rFonts w:ascii="宋体" w:hAnsi="宋体"/>
          <w:sz w:val="21"/>
          <w:szCs w:val="21"/>
        </w:rPr>
      </w:pPr>
      <w:r>
        <w:rPr>
          <w:rFonts w:hint="eastAsia" w:ascii="宋体" w:hAnsi="宋体"/>
          <w:sz w:val="21"/>
          <w:szCs w:val="21"/>
        </w:rPr>
        <w:t>3.2.2根据接收机的原始数据输出率，满足数据更新率</w:t>
      </w:r>
      <w:r>
        <w:rPr>
          <w:rFonts w:ascii="宋体" w:hAnsi="宋体"/>
          <w:sz w:val="21"/>
          <w:szCs w:val="21"/>
        </w:rPr>
        <w:t>1</w:t>
      </w:r>
      <w:r>
        <w:rPr>
          <w:rFonts w:hint="eastAsia" w:ascii="宋体" w:hAnsi="宋体"/>
          <w:sz w:val="21"/>
          <w:szCs w:val="21"/>
        </w:rPr>
        <w:t>Hz</w:t>
      </w:r>
      <w:r>
        <w:rPr>
          <w:rFonts w:ascii="宋体" w:hAnsi="宋体"/>
          <w:sz w:val="21"/>
          <w:szCs w:val="21"/>
        </w:rPr>
        <w:t>-10</w:t>
      </w:r>
      <w:r>
        <w:rPr>
          <w:rFonts w:hint="eastAsia" w:ascii="宋体" w:hAnsi="宋体"/>
          <w:sz w:val="21"/>
          <w:szCs w:val="21"/>
        </w:rPr>
        <w:t>Hz；</w:t>
      </w:r>
    </w:p>
    <w:p>
      <w:pPr>
        <w:adjustRightInd w:val="0"/>
        <w:snapToGrid w:val="0"/>
        <w:spacing w:line="288" w:lineRule="auto"/>
        <w:rPr>
          <w:rFonts w:ascii="宋体" w:hAnsi="宋体"/>
          <w:sz w:val="21"/>
          <w:szCs w:val="21"/>
        </w:rPr>
      </w:pPr>
      <w:r>
        <w:rPr>
          <w:rFonts w:hint="eastAsia" w:ascii="宋体" w:hAnsi="宋体"/>
          <w:sz w:val="21"/>
          <w:szCs w:val="21"/>
        </w:rPr>
        <w:t>3.2.3可根据系统参数设置，对不同的监测站的实时Kalman滤波，达到不同的动态要求和精度要求；</w:t>
      </w:r>
    </w:p>
    <w:p>
      <w:pPr>
        <w:adjustRightInd w:val="0"/>
        <w:snapToGrid w:val="0"/>
        <w:spacing w:line="288" w:lineRule="auto"/>
        <w:rPr>
          <w:rFonts w:ascii="宋体" w:hAnsi="宋体"/>
          <w:sz w:val="21"/>
          <w:szCs w:val="21"/>
        </w:rPr>
      </w:pPr>
      <w:r>
        <w:rPr>
          <w:rFonts w:hint="eastAsia" w:ascii="宋体" w:hAnsi="宋体"/>
          <w:sz w:val="21"/>
          <w:szCs w:val="21"/>
        </w:rPr>
        <w:t>3.2.4可同时处理至少1</w:t>
      </w:r>
      <w:r>
        <w:rPr>
          <w:rFonts w:ascii="宋体" w:hAnsi="宋体"/>
          <w:sz w:val="21"/>
          <w:szCs w:val="21"/>
        </w:rPr>
        <w:t>0</w:t>
      </w:r>
      <w:r>
        <w:rPr>
          <w:rFonts w:hint="eastAsia" w:ascii="宋体" w:hAnsi="宋体"/>
          <w:sz w:val="21"/>
          <w:szCs w:val="21"/>
        </w:rPr>
        <w:t>个基站和</w:t>
      </w:r>
      <w:r>
        <w:rPr>
          <w:rFonts w:ascii="宋体" w:hAnsi="宋体"/>
          <w:sz w:val="21"/>
          <w:szCs w:val="21"/>
        </w:rPr>
        <w:t>200</w:t>
      </w:r>
      <w:r>
        <w:rPr>
          <w:rFonts w:hint="eastAsia" w:ascii="宋体" w:hAnsi="宋体"/>
          <w:sz w:val="21"/>
          <w:szCs w:val="21"/>
        </w:rPr>
        <w:t>个监测站的数据；</w:t>
      </w:r>
    </w:p>
    <w:p>
      <w:pPr>
        <w:adjustRightInd w:val="0"/>
        <w:snapToGrid w:val="0"/>
        <w:spacing w:line="288" w:lineRule="auto"/>
        <w:rPr>
          <w:rFonts w:ascii="宋体" w:hAnsi="宋体"/>
          <w:sz w:val="21"/>
          <w:szCs w:val="21"/>
        </w:rPr>
      </w:pPr>
      <w:r>
        <w:rPr>
          <w:rFonts w:hint="eastAsia" w:ascii="宋体" w:hAnsi="宋体"/>
          <w:sz w:val="21"/>
          <w:szCs w:val="21"/>
        </w:rPr>
        <w:t>3.2.5根据多天运行的结果，建立近期的大气延迟（对流层、电离层）模型，提高定位精度和可靠性；</w:t>
      </w:r>
    </w:p>
    <w:p>
      <w:pPr>
        <w:adjustRightInd w:val="0"/>
        <w:snapToGrid w:val="0"/>
        <w:spacing w:line="288" w:lineRule="auto"/>
        <w:rPr>
          <w:rFonts w:ascii="宋体" w:hAnsi="宋体"/>
          <w:sz w:val="21"/>
          <w:szCs w:val="21"/>
        </w:rPr>
      </w:pPr>
      <w:r>
        <w:rPr>
          <w:rFonts w:hint="eastAsia" w:ascii="宋体" w:hAnsi="宋体"/>
          <w:sz w:val="21"/>
          <w:szCs w:val="21"/>
        </w:rPr>
        <w:t>3.2.6多基站支持，提高系统的可靠性，同时根据多基站的观测数据，可以建立电离层模型，提高长距离监测的精度；根据多基站的处理结果，高点位精度和可靠性；</w:t>
      </w:r>
    </w:p>
    <w:p>
      <w:pPr>
        <w:adjustRightInd w:val="0"/>
        <w:snapToGrid w:val="0"/>
        <w:spacing w:line="288" w:lineRule="auto"/>
        <w:rPr>
          <w:rFonts w:ascii="宋体" w:hAnsi="宋体"/>
          <w:sz w:val="21"/>
          <w:szCs w:val="21"/>
        </w:rPr>
      </w:pPr>
      <w:r>
        <w:rPr>
          <w:rFonts w:hint="eastAsia" w:ascii="宋体" w:hAnsi="宋体"/>
          <w:sz w:val="21"/>
          <w:szCs w:val="21"/>
        </w:rPr>
        <w:t>3.2.7具备原始数据后处理功能；</w:t>
      </w:r>
    </w:p>
    <w:p>
      <w:pPr>
        <w:adjustRightInd w:val="0"/>
        <w:snapToGrid w:val="0"/>
        <w:spacing w:line="288" w:lineRule="auto"/>
        <w:rPr>
          <w:rFonts w:ascii="宋体" w:hAnsi="宋体"/>
          <w:sz w:val="21"/>
          <w:szCs w:val="21"/>
        </w:rPr>
      </w:pPr>
      <w:r>
        <w:rPr>
          <w:rFonts w:hint="eastAsia" w:ascii="宋体" w:hAnsi="宋体"/>
          <w:sz w:val="21"/>
          <w:szCs w:val="21"/>
        </w:rPr>
        <w:t>3.2.8输入接口协议：RS</w:t>
      </w:r>
      <w:r>
        <w:rPr>
          <w:rFonts w:ascii="宋体" w:hAnsi="宋体"/>
          <w:sz w:val="21"/>
          <w:szCs w:val="21"/>
        </w:rPr>
        <w:t>485</w:t>
      </w:r>
      <w:r>
        <w:rPr>
          <w:rFonts w:hint="eastAsia" w:ascii="宋体" w:hAnsi="宋体"/>
          <w:sz w:val="21"/>
          <w:szCs w:val="21"/>
        </w:rPr>
        <w:t>、RS232、CAN、TCP/IP、Ntrip；</w:t>
      </w:r>
    </w:p>
    <w:p>
      <w:pPr>
        <w:adjustRightInd w:val="0"/>
        <w:snapToGrid w:val="0"/>
        <w:spacing w:line="288" w:lineRule="auto"/>
        <w:rPr>
          <w:rFonts w:ascii="宋体" w:hAnsi="宋体"/>
          <w:sz w:val="21"/>
          <w:szCs w:val="21"/>
        </w:rPr>
      </w:pPr>
      <w:r>
        <w:rPr>
          <w:rFonts w:hint="eastAsia" w:ascii="宋体" w:hAnsi="宋体"/>
          <w:sz w:val="21"/>
          <w:szCs w:val="21"/>
        </w:rPr>
        <w:t>3.2.9能解析多种数据流，包括标准的数据流RTCM3.0</w:t>
      </w:r>
      <w:r>
        <w:rPr>
          <w:rFonts w:ascii="宋体" w:hAnsi="宋体"/>
          <w:sz w:val="21"/>
          <w:szCs w:val="21"/>
        </w:rPr>
        <w:t>+</w:t>
      </w:r>
      <w:r>
        <w:rPr>
          <w:rFonts w:hint="eastAsia" w:ascii="宋体" w:hAnsi="宋体"/>
          <w:sz w:val="21"/>
          <w:szCs w:val="21"/>
        </w:rPr>
        <w:t>、RTCM2.0</w:t>
      </w:r>
      <w:r>
        <w:rPr>
          <w:rFonts w:ascii="宋体" w:hAnsi="宋体"/>
          <w:sz w:val="21"/>
          <w:szCs w:val="21"/>
        </w:rPr>
        <w:t>+</w:t>
      </w:r>
      <w:r>
        <w:rPr>
          <w:rFonts w:hint="eastAsia" w:ascii="宋体" w:hAnsi="宋体"/>
          <w:sz w:val="21"/>
          <w:szCs w:val="21"/>
        </w:rPr>
        <w:t>等GNSS数据格式；</w:t>
      </w:r>
    </w:p>
    <w:p>
      <w:pPr>
        <w:adjustRightInd w:val="0"/>
        <w:snapToGrid w:val="0"/>
        <w:spacing w:line="288" w:lineRule="auto"/>
        <w:rPr>
          <w:rFonts w:ascii="宋体" w:hAnsi="宋体"/>
          <w:sz w:val="21"/>
          <w:szCs w:val="21"/>
        </w:rPr>
      </w:pPr>
      <w:r>
        <w:rPr>
          <w:rFonts w:hint="eastAsia" w:ascii="宋体" w:hAnsi="宋体"/>
          <w:sz w:val="21"/>
          <w:szCs w:val="21"/>
        </w:rPr>
        <w:t>3.2.10输出接口（远程服务）协议：TCP/IP；</w:t>
      </w:r>
    </w:p>
    <w:p>
      <w:pPr>
        <w:adjustRightInd w:val="0"/>
        <w:snapToGrid w:val="0"/>
        <w:spacing w:line="288" w:lineRule="auto"/>
        <w:rPr>
          <w:rFonts w:ascii="宋体" w:hAnsi="宋体"/>
          <w:sz w:val="21"/>
          <w:szCs w:val="21"/>
        </w:rPr>
      </w:pPr>
      <w:r>
        <w:rPr>
          <w:rFonts w:hint="eastAsia" w:ascii="宋体" w:hAnsi="宋体"/>
          <w:sz w:val="21"/>
          <w:szCs w:val="21"/>
        </w:rPr>
        <w:t>3.2.11实时显示接收机的信号跟踪状况，如星空图、信噪比等；</w:t>
      </w:r>
    </w:p>
    <w:p>
      <w:pPr>
        <w:adjustRightInd w:val="0"/>
        <w:snapToGrid w:val="0"/>
        <w:spacing w:line="288" w:lineRule="auto"/>
        <w:rPr>
          <w:rFonts w:ascii="宋体" w:hAnsi="宋体"/>
          <w:sz w:val="21"/>
          <w:szCs w:val="21"/>
        </w:rPr>
      </w:pPr>
      <w:r>
        <w:rPr>
          <w:rFonts w:hint="eastAsia" w:ascii="宋体" w:hAnsi="宋体"/>
          <w:sz w:val="21"/>
          <w:szCs w:val="21"/>
        </w:rPr>
        <w:t>3.2.12实时显示基线的变化情况、点位的移动情况等；</w:t>
      </w:r>
    </w:p>
    <w:p>
      <w:pPr>
        <w:adjustRightInd w:val="0"/>
        <w:snapToGrid w:val="0"/>
        <w:spacing w:line="288" w:lineRule="auto"/>
        <w:rPr>
          <w:rFonts w:ascii="宋体" w:hAnsi="宋体"/>
          <w:sz w:val="21"/>
          <w:szCs w:val="21"/>
        </w:rPr>
      </w:pPr>
      <w:r>
        <w:rPr>
          <w:rFonts w:hint="eastAsia" w:ascii="宋体" w:hAnsi="宋体"/>
          <w:sz w:val="21"/>
          <w:szCs w:val="21"/>
        </w:rPr>
        <w:t>3.2.13具备原始数据、解算结果的自动保存功能，可根据用户需求进行设置；</w:t>
      </w:r>
    </w:p>
    <w:p>
      <w:pPr>
        <w:adjustRightInd w:val="0"/>
        <w:snapToGrid w:val="0"/>
        <w:spacing w:line="288" w:lineRule="auto"/>
        <w:rPr>
          <w:rFonts w:ascii="宋体" w:hAnsi="宋体"/>
          <w:sz w:val="21"/>
          <w:szCs w:val="21"/>
        </w:rPr>
      </w:pPr>
      <w:r>
        <w:rPr>
          <w:rFonts w:hint="eastAsia" w:ascii="宋体" w:hAnsi="宋体"/>
          <w:sz w:val="21"/>
          <w:szCs w:val="21"/>
        </w:rPr>
        <w:t>3.2.14具备对监测站、基站接收机的远程设置功能，软件上有各个GNSS接收机的独立监控模块，可以向GNSS接收机发送用户更改参数的命令（如采样间隔、高度截止角等）；</w:t>
      </w:r>
    </w:p>
    <w:p>
      <w:pPr>
        <w:adjustRightInd w:val="0"/>
        <w:snapToGrid w:val="0"/>
        <w:spacing w:line="288" w:lineRule="auto"/>
        <w:rPr>
          <w:rFonts w:ascii="宋体" w:hAnsi="宋体"/>
          <w:sz w:val="21"/>
          <w:szCs w:val="21"/>
        </w:rPr>
      </w:pPr>
      <w:r>
        <w:rPr>
          <w:rFonts w:hint="eastAsia" w:ascii="宋体" w:hAnsi="宋体"/>
          <w:sz w:val="21"/>
          <w:szCs w:val="21"/>
        </w:rPr>
        <w:t>3.2.15具备环境参数输入功能。比如，输入监测站周围障碍物的分布情况，在数据处理时，能剔除常规方法不能自动剔出的坏数据，提高定位精度。</w:t>
      </w:r>
    </w:p>
    <w:p>
      <w:pPr>
        <w:adjustRightInd w:val="0"/>
        <w:snapToGrid w:val="0"/>
        <w:spacing w:line="288" w:lineRule="auto"/>
        <w:rPr>
          <w:rFonts w:ascii="宋体" w:hAnsi="宋体"/>
          <w:sz w:val="21"/>
          <w:szCs w:val="21"/>
        </w:rPr>
      </w:pPr>
      <w:r>
        <w:rPr>
          <w:rFonts w:hint="eastAsia" w:ascii="宋体" w:hAnsi="宋体"/>
          <w:sz w:val="21"/>
          <w:szCs w:val="21"/>
        </w:rPr>
        <w:t>3.2.16具有防死机功能，一旦某个监测站出现死机现象，软件马上会通过数据信号触发的方式实现接收机自动重启；</w:t>
      </w:r>
    </w:p>
    <w:p>
      <w:pPr>
        <w:adjustRightInd w:val="0"/>
        <w:snapToGrid w:val="0"/>
        <w:spacing w:line="288" w:lineRule="auto"/>
        <w:rPr>
          <w:rFonts w:ascii="宋体" w:hAnsi="宋体"/>
          <w:sz w:val="21"/>
          <w:szCs w:val="21"/>
        </w:rPr>
      </w:pPr>
      <w:r>
        <w:rPr>
          <w:rFonts w:hint="eastAsia" w:ascii="宋体" w:hAnsi="宋体"/>
          <w:sz w:val="21"/>
          <w:szCs w:val="21"/>
        </w:rPr>
        <w:t>3.2.17可以调整各个监测站的位置更新率；</w:t>
      </w:r>
    </w:p>
    <w:p>
      <w:pPr>
        <w:adjustRightInd w:val="0"/>
        <w:snapToGrid w:val="0"/>
        <w:spacing w:line="288" w:lineRule="auto"/>
        <w:rPr>
          <w:rFonts w:ascii="宋体" w:hAnsi="宋体"/>
          <w:sz w:val="21"/>
          <w:szCs w:val="21"/>
        </w:rPr>
      </w:pPr>
      <w:r>
        <w:rPr>
          <w:rFonts w:hint="eastAsia" w:ascii="宋体" w:hAnsi="宋体"/>
          <w:sz w:val="21"/>
          <w:szCs w:val="21"/>
        </w:rPr>
        <w:t>3.2.18提供与边缘计算设备的软件接口，包括但不限于实时的RTCM格式卫星数据传输、基于NTP的双端时钟同步；</w:t>
      </w:r>
    </w:p>
    <w:p>
      <w:pPr>
        <w:adjustRightInd w:val="0"/>
        <w:snapToGrid w:val="0"/>
        <w:spacing w:line="288" w:lineRule="auto"/>
        <w:rPr>
          <w:rFonts w:ascii="宋体" w:hAnsi="宋体"/>
          <w:sz w:val="21"/>
          <w:szCs w:val="21"/>
        </w:rPr>
      </w:pPr>
      <w:r>
        <w:rPr>
          <w:rFonts w:hint="eastAsia" w:ascii="宋体" w:hAnsi="宋体"/>
          <w:sz w:val="21"/>
          <w:szCs w:val="21"/>
        </w:rPr>
        <w:t>3.2.19软件实现C/S架构，客户端可以运行在远程；</w:t>
      </w:r>
    </w:p>
    <w:p>
      <w:pPr>
        <w:adjustRightInd w:val="0"/>
        <w:snapToGrid w:val="0"/>
        <w:spacing w:line="288" w:lineRule="auto"/>
        <w:rPr>
          <w:rFonts w:ascii="宋体" w:hAnsi="宋体"/>
          <w:b/>
          <w:bCs/>
          <w:sz w:val="21"/>
          <w:szCs w:val="21"/>
        </w:rPr>
      </w:pPr>
      <w:r>
        <w:rPr>
          <w:rFonts w:ascii="宋体" w:hAnsi="宋体"/>
          <w:b/>
          <w:bCs/>
          <w:sz w:val="21"/>
          <w:szCs w:val="21"/>
        </w:rPr>
        <w:t>3.3C/S</w:t>
      </w:r>
      <w:r>
        <w:rPr>
          <w:rFonts w:hint="eastAsia" w:ascii="宋体" w:hAnsi="宋体"/>
          <w:b/>
          <w:bCs/>
          <w:sz w:val="21"/>
          <w:szCs w:val="21"/>
        </w:rPr>
        <w:t>架构功能与指标描述</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5386"/>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1" w:type="dxa"/>
          </w:tcPr>
          <w:p>
            <w:pPr>
              <w:adjustRightInd w:val="0"/>
              <w:snapToGrid w:val="0"/>
              <w:spacing w:line="288" w:lineRule="auto"/>
              <w:rPr>
                <w:rFonts w:ascii="宋体" w:hAnsi="宋体"/>
                <w:sz w:val="21"/>
                <w:szCs w:val="21"/>
              </w:rPr>
            </w:pPr>
          </w:p>
        </w:tc>
        <w:tc>
          <w:tcPr>
            <w:tcW w:w="5386" w:type="dxa"/>
            <w:vAlign w:val="center"/>
          </w:tcPr>
          <w:p>
            <w:pPr>
              <w:adjustRightInd w:val="0"/>
              <w:snapToGrid w:val="0"/>
              <w:spacing w:line="288" w:lineRule="auto"/>
              <w:jc w:val="center"/>
              <w:rPr>
                <w:rFonts w:ascii="宋体" w:hAnsi="宋体"/>
                <w:b/>
                <w:bCs/>
                <w:sz w:val="21"/>
                <w:szCs w:val="21"/>
              </w:rPr>
            </w:pPr>
            <w:r>
              <w:rPr>
                <w:rFonts w:hint="eastAsia" w:ascii="宋体" w:hAnsi="宋体"/>
                <w:b/>
                <w:bCs/>
                <w:sz w:val="21"/>
                <w:szCs w:val="21"/>
              </w:rPr>
              <w:t>服务端（</w:t>
            </w:r>
            <w:r>
              <w:rPr>
                <w:rFonts w:ascii="宋体" w:hAnsi="宋体"/>
                <w:b/>
                <w:bCs/>
                <w:sz w:val="21"/>
                <w:szCs w:val="21"/>
              </w:rPr>
              <w:t>S</w:t>
            </w:r>
            <w:r>
              <w:rPr>
                <w:rFonts w:hint="eastAsia" w:ascii="宋体" w:hAnsi="宋体"/>
                <w:b/>
                <w:bCs/>
                <w:sz w:val="21"/>
                <w:szCs w:val="21"/>
              </w:rPr>
              <w:t>）</w:t>
            </w:r>
          </w:p>
        </w:tc>
        <w:tc>
          <w:tcPr>
            <w:tcW w:w="2489" w:type="dxa"/>
            <w:vAlign w:val="center"/>
          </w:tcPr>
          <w:p>
            <w:pPr>
              <w:adjustRightInd w:val="0"/>
              <w:snapToGrid w:val="0"/>
              <w:spacing w:line="288" w:lineRule="auto"/>
              <w:jc w:val="center"/>
              <w:rPr>
                <w:rFonts w:ascii="宋体" w:hAnsi="宋体"/>
                <w:b/>
                <w:bCs/>
                <w:sz w:val="21"/>
                <w:szCs w:val="21"/>
              </w:rPr>
            </w:pPr>
            <w:r>
              <w:rPr>
                <w:rFonts w:hint="eastAsia" w:ascii="宋体" w:hAnsi="宋体"/>
                <w:b/>
                <w:bCs/>
                <w:sz w:val="21"/>
                <w:szCs w:val="21"/>
              </w:rPr>
              <w:t>客户端（</w:t>
            </w:r>
            <w:r>
              <w:rPr>
                <w:rFonts w:ascii="宋体" w:hAnsi="宋体"/>
                <w:b/>
                <w:bCs/>
                <w:sz w:val="21"/>
                <w:szCs w:val="21"/>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pPr>
              <w:adjustRightInd w:val="0"/>
              <w:snapToGrid w:val="0"/>
              <w:spacing w:line="288" w:lineRule="auto"/>
              <w:rPr>
                <w:rFonts w:ascii="宋体" w:hAnsi="宋体"/>
                <w:sz w:val="21"/>
                <w:szCs w:val="21"/>
              </w:rPr>
            </w:pPr>
            <w:r>
              <w:rPr>
                <w:rFonts w:hint="eastAsia" w:ascii="宋体" w:hAnsi="宋体"/>
                <w:sz w:val="21"/>
                <w:szCs w:val="21"/>
              </w:rPr>
              <w:t>系统功能</w:t>
            </w:r>
          </w:p>
        </w:tc>
        <w:tc>
          <w:tcPr>
            <w:tcW w:w="5386" w:type="dxa"/>
          </w:tcPr>
          <w:p>
            <w:pPr>
              <w:adjustRightInd w:val="0"/>
              <w:snapToGrid w:val="0"/>
              <w:spacing w:line="288" w:lineRule="auto"/>
              <w:rPr>
                <w:rFonts w:ascii="宋体" w:hAnsi="宋体"/>
                <w:sz w:val="21"/>
                <w:szCs w:val="21"/>
              </w:rPr>
            </w:pPr>
            <w:r>
              <w:rPr>
                <w:rFonts w:hint="eastAsia" w:ascii="宋体" w:hAnsi="宋体"/>
                <w:sz w:val="21"/>
                <w:szCs w:val="21"/>
              </w:rPr>
              <w:t>(1)具备接收并解码GNSS基准站/监测站RTCM3实时数据流功能；</w:t>
            </w:r>
          </w:p>
          <w:p>
            <w:pPr>
              <w:adjustRightInd w:val="0"/>
              <w:snapToGrid w:val="0"/>
              <w:spacing w:line="288" w:lineRule="auto"/>
              <w:rPr>
                <w:rFonts w:ascii="宋体" w:hAnsi="宋体"/>
                <w:sz w:val="21"/>
                <w:szCs w:val="21"/>
              </w:rPr>
            </w:pPr>
            <w:r>
              <w:rPr>
                <w:rFonts w:hint="eastAsia" w:ascii="宋体" w:hAnsi="宋体"/>
                <w:sz w:val="21"/>
                <w:szCs w:val="21"/>
              </w:rPr>
              <w:t>(2)具备利用广播星历进行高精度位置服务能力；</w:t>
            </w:r>
          </w:p>
          <w:p>
            <w:pPr>
              <w:adjustRightInd w:val="0"/>
              <w:snapToGrid w:val="0"/>
              <w:spacing w:line="288" w:lineRule="auto"/>
              <w:rPr>
                <w:rFonts w:ascii="宋体" w:hAnsi="宋体"/>
                <w:sz w:val="21"/>
                <w:szCs w:val="21"/>
              </w:rPr>
            </w:pPr>
            <w:r>
              <w:rPr>
                <w:rFonts w:hint="eastAsia" w:ascii="宋体" w:hAnsi="宋体"/>
                <w:sz w:val="21"/>
                <w:szCs w:val="21"/>
              </w:rPr>
              <w:t>(3)具备基于稀疏区域参考网及广播星历解算精密卫星钟差、精密卫星相位偏差、精密电离层延迟、精密对流层延迟功能；</w:t>
            </w:r>
          </w:p>
          <w:p>
            <w:pPr>
              <w:adjustRightInd w:val="0"/>
              <w:snapToGrid w:val="0"/>
              <w:spacing w:line="288" w:lineRule="auto"/>
              <w:rPr>
                <w:rFonts w:ascii="宋体" w:hAnsi="宋体"/>
                <w:sz w:val="21"/>
                <w:szCs w:val="21"/>
              </w:rPr>
            </w:pPr>
            <w:r>
              <w:rPr>
                <w:rFonts w:hint="eastAsia" w:ascii="宋体" w:hAnsi="宋体"/>
                <w:sz w:val="21"/>
                <w:szCs w:val="21"/>
              </w:rPr>
              <w:t>(4)具备区域电离层延迟、对流层延迟精细建模功能；</w:t>
            </w:r>
          </w:p>
          <w:p>
            <w:pPr>
              <w:adjustRightInd w:val="0"/>
              <w:snapToGrid w:val="0"/>
              <w:spacing w:line="288" w:lineRule="auto"/>
              <w:rPr>
                <w:rFonts w:ascii="宋体" w:hAnsi="宋体"/>
                <w:sz w:val="21"/>
                <w:szCs w:val="21"/>
              </w:rPr>
            </w:pPr>
            <w:r>
              <w:rPr>
                <w:rFonts w:hint="eastAsia" w:ascii="宋体" w:hAnsi="宋体"/>
                <w:sz w:val="21"/>
                <w:szCs w:val="21"/>
              </w:rPr>
              <w:t>(5)具备将精密卫星钟差、精密卫星相位偏差、精密 电离层延迟模型系数、精密对流层延迟模型系数进行二进制编码功能；</w:t>
            </w:r>
          </w:p>
          <w:p>
            <w:pPr>
              <w:adjustRightInd w:val="0"/>
              <w:snapToGrid w:val="0"/>
              <w:spacing w:line="288" w:lineRule="auto"/>
              <w:rPr>
                <w:rFonts w:ascii="宋体" w:hAnsi="宋体"/>
                <w:sz w:val="21"/>
                <w:szCs w:val="21"/>
              </w:rPr>
            </w:pPr>
            <w:r>
              <w:rPr>
                <w:rFonts w:hint="eastAsia" w:ascii="宋体" w:hAnsi="宋体"/>
                <w:sz w:val="21"/>
                <w:szCs w:val="21"/>
              </w:rPr>
              <w:t>(6)具备Linux操作系统运行能力。</w:t>
            </w:r>
          </w:p>
        </w:tc>
        <w:tc>
          <w:tcPr>
            <w:tcW w:w="2489" w:type="dxa"/>
          </w:tcPr>
          <w:p>
            <w:pPr>
              <w:adjustRightInd w:val="0"/>
              <w:snapToGrid w:val="0"/>
              <w:spacing w:line="288" w:lineRule="auto"/>
              <w:rPr>
                <w:rFonts w:ascii="宋体" w:hAnsi="宋体"/>
                <w:sz w:val="21"/>
                <w:szCs w:val="21"/>
              </w:rPr>
            </w:pPr>
            <w:r>
              <w:rPr>
                <w:rFonts w:hint="eastAsia" w:ascii="宋体" w:hAnsi="宋体"/>
                <w:sz w:val="21"/>
                <w:szCs w:val="21"/>
              </w:rPr>
              <w:t>(1)具备基于服务端精密产品及监测站GNSS数据进行高精度实时动态定位功能；</w:t>
            </w:r>
          </w:p>
          <w:p>
            <w:pPr>
              <w:adjustRightInd w:val="0"/>
              <w:snapToGrid w:val="0"/>
              <w:spacing w:line="288" w:lineRule="auto"/>
              <w:rPr>
                <w:rFonts w:ascii="宋体" w:hAnsi="宋体"/>
                <w:sz w:val="21"/>
                <w:szCs w:val="21"/>
              </w:rPr>
            </w:pPr>
            <w:r>
              <w:rPr>
                <w:rFonts w:hint="eastAsia" w:ascii="宋体" w:hAnsi="宋体"/>
                <w:sz w:val="21"/>
                <w:szCs w:val="21"/>
              </w:rPr>
              <w:t>(2)具备Linux操作系统运行能力；</w:t>
            </w:r>
          </w:p>
          <w:p>
            <w:pPr>
              <w:adjustRightInd w:val="0"/>
              <w:snapToGrid w:val="0"/>
              <w:spacing w:line="288" w:lineRule="auto"/>
              <w:rPr>
                <w:rFonts w:ascii="宋体" w:hAnsi="宋体"/>
                <w:sz w:val="21"/>
                <w:szCs w:val="21"/>
              </w:rPr>
            </w:pPr>
            <w:r>
              <w:rPr>
                <w:rFonts w:hint="eastAsia" w:ascii="宋体" w:hAnsi="宋体"/>
                <w:sz w:val="21"/>
                <w:szCs w:val="21"/>
              </w:rPr>
              <w:t>(</w:t>
            </w:r>
            <w:r>
              <w:rPr>
                <w:rFonts w:ascii="宋体" w:hAnsi="宋体"/>
                <w:sz w:val="21"/>
                <w:szCs w:val="21"/>
              </w:rPr>
              <w:t>3</w:t>
            </w:r>
            <w:r>
              <w:rPr>
                <w:rFonts w:hint="eastAsia" w:ascii="宋体" w:hAnsi="宋体"/>
                <w:sz w:val="21"/>
                <w:szCs w:val="21"/>
              </w:rPr>
              <w:t>)向边缘计算设备提供甲方所需要的软件接口，包括但不限于实时的RTCM格式卫星数据传输、基于NTP的双端时钟同步。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pPr>
              <w:adjustRightInd w:val="0"/>
              <w:snapToGrid w:val="0"/>
              <w:spacing w:line="288" w:lineRule="auto"/>
              <w:rPr>
                <w:rFonts w:ascii="宋体" w:hAnsi="宋体"/>
                <w:sz w:val="21"/>
                <w:szCs w:val="21"/>
              </w:rPr>
            </w:pPr>
            <w:r>
              <w:rPr>
                <w:rFonts w:hint="eastAsia" w:ascii="宋体" w:hAnsi="宋体"/>
                <w:sz w:val="21"/>
                <w:szCs w:val="21"/>
              </w:rPr>
              <w:t>系统指标</w:t>
            </w:r>
          </w:p>
        </w:tc>
        <w:tc>
          <w:tcPr>
            <w:tcW w:w="5386" w:type="dxa"/>
          </w:tcPr>
          <w:p>
            <w:pPr>
              <w:adjustRightInd w:val="0"/>
              <w:snapToGrid w:val="0"/>
              <w:spacing w:line="288" w:lineRule="auto"/>
              <w:rPr>
                <w:rFonts w:ascii="宋体" w:hAnsi="宋体"/>
                <w:sz w:val="21"/>
                <w:szCs w:val="21"/>
              </w:rPr>
            </w:pPr>
            <w:r>
              <w:rPr>
                <w:rFonts w:hint="eastAsia" w:ascii="宋体" w:hAnsi="宋体"/>
                <w:sz w:val="21"/>
                <w:szCs w:val="21"/>
              </w:rPr>
              <w:t>(</w:t>
            </w:r>
            <w:r>
              <w:rPr>
                <w:rFonts w:ascii="宋体" w:hAnsi="宋体"/>
                <w:sz w:val="21"/>
                <w:szCs w:val="21"/>
              </w:rPr>
              <w:t>1)</w:t>
            </w:r>
            <w:r>
              <w:rPr>
                <w:rFonts w:hint="eastAsia" w:ascii="宋体" w:hAnsi="宋体"/>
                <w:sz w:val="21"/>
                <w:szCs w:val="21"/>
              </w:rPr>
              <w:t>支持解算GNSS基准站个数不少于10个，基准站数量主要为了保证监测精度，最终以实际建设数量为准；</w:t>
            </w:r>
          </w:p>
          <w:p>
            <w:pPr>
              <w:adjustRightInd w:val="0"/>
              <w:snapToGrid w:val="0"/>
              <w:spacing w:line="288" w:lineRule="auto"/>
              <w:rPr>
                <w:rFonts w:ascii="宋体" w:hAnsi="宋体"/>
                <w:sz w:val="21"/>
                <w:szCs w:val="21"/>
              </w:rPr>
            </w:pPr>
            <w:r>
              <w:rPr>
                <w:rFonts w:hint="eastAsia" w:ascii="宋体" w:hAnsi="宋体"/>
                <w:sz w:val="21"/>
                <w:szCs w:val="21"/>
              </w:rPr>
              <w:t>(</w:t>
            </w:r>
            <w:r>
              <w:rPr>
                <w:rFonts w:ascii="宋体" w:hAnsi="宋体"/>
                <w:sz w:val="21"/>
                <w:szCs w:val="21"/>
              </w:rPr>
              <w:t>2)</w:t>
            </w:r>
            <w:r>
              <w:rPr>
                <w:rFonts w:hint="eastAsia" w:ascii="宋体" w:hAnsi="宋体"/>
                <w:sz w:val="21"/>
                <w:szCs w:val="21"/>
              </w:rPr>
              <w:t>监测站数量：不少于</w:t>
            </w:r>
            <w:r>
              <w:rPr>
                <w:rFonts w:ascii="宋体" w:hAnsi="宋体"/>
                <w:sz w:val="21"/>
                <w:szCs w:val="21"/>
              </w:rPr>
              <w:t>200</w:t>
            </w:r>
            <w:r>
              <w:rPr>
                <w:rFonts w:hint="eastAsia" w:ascii="宋体" w:hAnsi="宋体"/>
                <w:sz w:val="21"/>
                <w:szCs w:val="21"/>
              </w:rPr>
              <w:t>个，数量根据甲方需求及其服务器解算能力而定；</w:t>
            </w:r>
          </w:p>
          <w:p>
            <w:pPr>
              <w:adjustRightInd w:val="0"/>
              <w:snapToGrid w:val="0"/>
              <w:spacing w:line="288" w:lineRule="auto"/>
              <w:rPr>
                <w:rFonts w:ascii="宋体" w:hAnsi="宋体"/>
                <w:sz w:val="21"/>
                <w:szCs w:val="21"/>
              </w:rPr>
            </w:pPr>
            <w:r>
              <w:rPr>
                <w:rFonts w:hint="eastAsia" w:ascii="宋体" w:hAnsi="宋体"/>
                <w:sz w:val="21"/>
                <w:szCs w:val="21"/>
              </w:rPr>
              <w:t>(</w:t>
            </w:r>
            <w:r>
              <w:rPr>
                <w:rFonts w:ascii="宋体" w:hAnsi="宋体"/>
                <w:sz w:val="21"/>
                <w:szCs w:val="21"/>
              </w:rPr>
              <w:t>3)</w:t>
            </w:r>
            <w:r>
              <w:rPr>
                <w:rFonts w:hint="eastAsia" w:ascii="宋体" w:hAnsi="宋体"/>
                <w:sz w:val="21"/>
                <w:szCs w:val="21"/>
              </w:rPr>
              <w:t>支持卫星导航系统：GPS+BDS2+BDS3+Galileo;</w:t>
            </w:r>
          </w:p>
          <w:p>
            <w:pPr>
              <w:adjustRightInd w:val="0"/>
              <w:snapToGrid w:val="0"/>
              <w:spacing w:line="288" w:lineRule="auto"/>
              <w:rPr>
                <w:rFonts w:ascii="宋体" w:hAnsi="宋体"/>
                <w:sz w:val="21"/>
                <w:szCs w:val="21"/>
              </w:rPr>
            </w:pPr>
            <w:r>
              <w:rPr>
                <w:rFonts w:hint="eastAsia" w:ascii="宋体" w:hAnsi="宋体"/>
                <w:sz w:val="21"/>
                <w:szCs w:val="21"/>
              </w:rPr>
              <w:t>(</w:t>
            </w:r>
            <w:r>
              <w:rPr>
                <w:rFonts w:ascii="宋体" w:hAnsi="宋体"/>
                <w:sz w:val="21"/>
                <w:szCs w:val="21"/>
              </w:rPr>
              <w:t>4)</w:t>
            </w:r>
            <w:r>
              <w:rPr>
                <w:rFonts w:hint="eastAsia" w:ascii="宋体" w:hAnsi="宋体"/>
                <w:sz w:val="21"/>
                <w:szCs w:val="21"/>
              </w:rPr>
              <w:t>支持解算频点：双频，GPS L1C/L2W,BDS B1I/B3I,</w:t>
            </w:r>
          </w:p>
          <w:p>
            <w:pPr>
              <w:adjustRightInd w:val="0"/>
              <w:snapToGrid w:val="0"/>
              <w:spacing w:line="288" w:lineRule="auto"/>
              <w:rPr>
                <w:rFonts w:ascii="宋体" w:hAnsi="宋体"/>
                <w:sz w:val="21"/>
                <w:szCs w:val="21"/>
              </w:rPr>
            </w:pPr>
            <w:r>
              <w:rPr>
                <w:rFonts w:hint="eastAsia" w:ascii="宋体" w:hAnsi="宋体"/>
                <w:sz w:val="21"/>
                <w:szCs w:val="21"/>
              </w:rPr>
              <w:t>Galileo El/E5b,支持扩展为其他频率组合。若未来GPS L5 频点提高应用，GPS系统修改为L1C/L5。未来BDS3的新频点加入到标准RTCM 后，且未来主要为BDS3服务时，BDS系统修改为B1I/B2a,或根据习惯应用更新；</w:t>
            </w:r>
          </w:p>
          <w:p>
            <w:pPr>
              <w:adjustRightInd w:val="0"/>
              <w:snapToGrid w:val="0"/>
              <w:spacing w:line="288" w:lineRule="auto"/>
              <w:rPr>
                <w:rFonts w:ascii="宋体" w:hAnsi="宋体"/>
                <w:sz w:val="21"/>
                <w:szCs w:val="21"/>
              </w:rPr>
            </w:pPr>
            <w:r>
              <w:rPr>
                <w:rFonts w:hint="eastAsia" w:ascii="宋体" w:hAnsi="宋体"/>
                <w:sz w:val="21"/>
                <w:szCs w:val="21"/>
              </w:rPr>
              <w:t>(</w:t>
            </w:r>
            <w:r>
              <w:rPr>
                <w:rFonts w:ascii="宋体" w:hAnsi="宋体"/>
                <w:sz w:val="21"/>
                <w:szCs w:val="21"/>
              </w:rPr>
              <w:t>5)</w:t>
            </w:r>
            <w:r>
              <w:rPr>
                <w:rFonts w:hint="eastAsia" w:ascii="宋体" w:hAnsi="宋体"/>
                <w:sz w:val="21"/>
                <w:szCs w:val="21"/>
              </w:rPr>
              <w:t>北斗基准站距离以目前实际港珠澳大桥监测基准站距离为准；</w:t>
            </w:r>
          </w:p>
          <w:p>
            <w:pPr>
              <w:adjustRightInd w:val="0"/>
              <w:snapToGrid w:val="0"/>
              <w:spacing w:line="288" w:lineRule="auto"/>
              <w:rPr>
                <w:rFonts w:ascii="宋体" w:hAnsi="宋体"/>
                <w:sz w:val="21"/>
                <w:szCs w:val="21"/>
              </w:rPr>
            </w:pPr>
            <w:r>
              <w:rPr>
                <w:rFonts w:hint="eastAsia" w:ascii="宋体" w:hAnsi="宋体"/>
                <w:sz w:val="21"/>
                <w:szCs w:val="21"/>
              </w:rPr>
              <w:t>(</w:t>
            </w:r>
            <w:r>
              <w:rPr>
                <w:rFonts w:ascii="宋体" w:hAnsi="宋体"/>
                <w:sz w:val="21"/>
                <w:szCs w:val="21"/>
              </w:rPr>
              <w:t>6)</w:t>
            </w:r>
            <w:r>
              <w:rPr>
                <w:rFonts w:hint="eastAsia" w:ascii="宋体" w:hAnsi="宋体"/>
                <w:sz w:val="21"/>
                <w:szCs w:val="21"/>
              </w:rPr>
              <w:t>解算频率：静态解算频率1Hz,动态解算频率10Hz。</w:t>
            </w:r>
          </w:p>
        </w:tc>
        <w:tc>
          <w:tcPr>
            <w:tcW w:w="2489" w:type="dxa"/>
          </w:tcPr>
          <w:p>
            <w:pPr>
              <w:adjustRightInd w:val="0"/>
              <w:snapToGrid w:val="0"/>
              <w:spacing w:line="288" w:lineRule="auto"/>
              <w:rPr>
                <w:rFonts w:ascii="宋体" w:hAnsi="宋体"/>
                <w:sz w:val="21"/>
                <w:szCs w:val="21"/>
              </w:rPr>
            </w:pPr>
            <w:r>
              <w:rPr>
                <w:rFonts w:hint="eastAsia" w:ascii="宋体" w:hAnsi="宋体"/>
                <w:sz w:val="21"/>
                <w:szCs w:val="21"/>
              </w:rPr>
              <w:t>(1)静态解算频率1Hz, 可配置输出频率低于1Hz；</w:t>
            </w:r>
          </w:p>
          <w:p>
            <w:pPr>
              <w:adjustRightInd w:val="0"/>
              <w:snapToGrid w:val="0"/>
              <w:spacing w:line="288" w:lineRule="auto"/>
              <w:rPr>
                <w:rFonts w:ascii="宋体" w:hAnsi="宋体"/>
                <w:sz w:val="21"/>
                <w:szCs w:val="21"/>
              </w:rPr>
            </w:pPr>
            <w:r>
              <w:rPr>
                <w:rFonts w:hint="eastAsia" w:ascii="宋体" w:hAnsi="宋体"/>
                <w:sz w:val="21"/>
                <w:szCs w:val="21"/>
              </w:rPr>
              <w:t>(2)静态定位精度(定位时长4小时):平面2毫米、高程4毫米；</w:t>
            </w:r>
          </w:p>
          <w:p>
            <w:pPr>
              <w:adjustRightInd w:val="0"/>
              <w:snapToGrid w:val="0"/>
              <w:spacing w:line="288" w:lineRule="auto"/>
              <w:rPr>
                <w:rFonts w:ascii="宋体" w:hAnsi="宋体"/>
                <w:sz w:val="21"/>
                <w:szCs w:val="21"/>
              </w:rPr>
            </w:pPr>
            <w:r>
              <w:rPr>
                <w:rFonts w:hint="eastAsia" w:ascii="宋体" w:hAnsi="宋体"/>
                <w:sz w:val="21"/>
                <w:szCs w:val="21"/>
              </w:rPr>
              <w:t>(3)动态解算频率10Hz;</w:t>
            </w:r>
          </w:p>
          <w:p>
            <w:pPr>
              <w:adjustRightInd w:val="0"/>
              <w:snapToGrid w:val="0"/>
              <w:spacing w:line="288" w:lineRule="auto"/>
              <w:rPr>
                <w:rFonts w:ascii="宋体" w:hAnsi="宋体"/>
                <w:sz w:val="21"/>
                <w:szCs w:val="21"/>
              </w:rPr>
            </w:pPr>
            <w:r>
              <w:rPr>
                <w:rFonts w:hint="eastAsia" w:ascii="宋体" w:hAnsi="宋体"/>
                <w:sz w:val="21"/>
                <w:szCs w:val="21"/>
              </w:rPr>
              <w:t>(4)动态定位精度：平面1厘米、高程3厘米。</w:t>
            </w:r>
          </w:p>
        </w:tc>
      </w:tr>
    </w:tbl>
    <w:p>
      <w:pPr>
        <w:adjustRightInd w:val="0"/>
        <w:snapToGrid w:val="0"/>
        <w:spacing w:line="288" w:lineRule="auto"/>
        <w:rPr>
          <w:rFonts w:ascii="宋体" w:hAnsi="宋体"/>
          <w:b/>
          <w:bCs/>
          <w:sz w:val="21"/>
          <w:szCs w:val="21"/>
        </w:rPr>
      </w:pPr>
      <w:r>
        <w:rPr>
          <w:rFonts w:ascii="宋体" w:hAnsi="宋体"/>
          <w:b/>
          <w:bCs/>
          <w:sz w:val="21"/>
          <w:szCs w:val="21"/>
        </w:rPr>
        <w:t>3.4</w:t>
      </w:r>
      <w:r>
        <w:rPr>
          <w:rFonts w:hint="eastAsia" w:ascii="宋体" w:hAnsi="宋体"/>
          <w:b/>
          <w:bCs/>
          <w:sz w:val="21"/>
          <w:szCs w:val="21"/>
        </w:rPr>
        <w:t>软件主要功能描述</w:t>
      </w:r>
    </w:p>
    <w:tbl>
      <w:tblPr>
        <w:tblStyle w:val="4"/>
        <w:tblW w:w="8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3675"/>
        <w:gridCol w:w="3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pPr>
              <w:adjustRightInd w:val="0"/>
              <w:snapToGrid w:val="0"/>
              <w:spacing w:line="288" w:lineRule="auto"/>
              <w:jc w:val="center"/>
              <w:rPr>
                <w:rFonts w:ascii="宋体" w:hAnsi="宋体"/>
                <w:b/>
                <w:bCs/>
                <w:sz w:val="21"/>
                <w:szCs w:val="21"/>
              </w:rPr>
            </w:pPr>
            <w:r>
              <w:rPr>
                <w:rFonts w:hint="eastAsia" w:ascii="宋体" w:hAnsi="宋体"/>
                <w:b/>
                <w:bCs/>
                <w:sz w:val="21"/>
                <w:szCs w:val="21"/>
              </w:rPr>
              <w:t>功能名称</w:t>
            </w:r>
          </w:p>
        </w:tc>
        <w:tc>
          <w:tcPr>
            <w:tcW w:w="3675" w:type="dxa"/>
            <w:vAlign w:val="center"/>
          </w:tcPr>
          <w:p>
            <w:pPr>
              <w:adjustRightInd w:val="0"/>
              <w:snapToGrid w:val="0"/>
              <w:spacing w:line="288" w:lineRule="auto"/>
              <w:jc w:val="center"/>
              <w:rPr>
                <w:rFonts w:ascii="宋体" w:hAnsi="宋体"/>
                <w:b/>
                <w:bCs/>
                <w:sz w:val="21"/>
                <w:szCs w:val="21"/>
              </w:rPr>
            </w:pPr>
            <w:r>
              <w:rPr>
                <w:rFonts w:hint="eastAsia" w:ascii="宋体" w:hAnsi="宋体"/>
                <w:b/>
                <w:bCs/>
                <w:sz w:val="21"/>
                <w:szCs w:val="21"/>
              </w:rPr>
              <w:t>描述</w:t>
            </w:r>
          </w:p>
        </w:tc>
        <w:tc>
          <w:tcPr>
            <w:tcW w:w="3678" w:type="dxa"/>
            <w:vAlign w:val="center"/>
          </w:tcPr>
          <w:p>
            <w:pPr>
              <w:adjustRightInd w:val="0"/>
              <w:snapToGrid w:val="0"/>
              <w:spacing w:line="288" w:lineRule="auto"/>
              <w:jc w:val="center"/>
              <w:rPr>
                <w:rFonts w:ascii="宋体" w:hAnsi="宋体"/>
                <w:b/>
                <w:bCs/>
                <w:sz w:val="21"/>
                <w:szCs w:val="21"/>
              </w:rPr>
            </w:pPr>
            <w:r>
              <w:rPr>
                <w:rFonts w:hint="eastAsia" w:ascii="宋体" w:hAnsi="宋体"/>
                <w:b/>
                <w:bCs/>
                <w:sz w:val="21"/>
                <w:szCs w:val="21"/>
              </w:rPr>
              <w:t>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形变监测分析对比</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通过图文交互的方式，分析出北斗与位移计和压力变送器的形变差异对比，从而得出北斗监测的精度数值</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通过图文交互的方式，展示不同的对比数据和数值。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形变监测结果呈现</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在平台可以查看到北斗的监测结果数据</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支持表格或图形化的方式展示结果；支持三维立体展示。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位移监测</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可展示每一个测站的位移状况</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支持切换监测站，切换显示不同监测站的位移状况；可选择不同的时间段；展示对应时间段的位移状况；可选择4、24小时的解算结果；可导出图像的监测数据，以word文档的形式将数据下载下来；变形量时间序列图：三维变形量在不同平面的投影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测站展示</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可展示每一个测站的星空图与信噪比状况</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支持监测站的切换：切换显示不同监测站的星空图与信噪比状况。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查看下载报告</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可以下载、查看日报、周报、月报</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支持报告类型切换：可以分别切换日、周、月模式，分别查看日报、周报、月报；支持选择时间段：选择不同的时间段查看不同时间段的报告；支持按需显示或者全部显示：按需显示是根据不同的时间段显示日报、周报、月报。全部显示是可以显示所有的日报或者月报或者周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报警日志</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可以查看并处理对应的报警信息</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支持选择时间段：选择不同的时间段查看不同时间段的报警信息。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登录/退出</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通过账号密码登录，可通过退出功能退出登录</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支持增加需要的账号和修改对应账号的密码。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spacing w:line="288" w:lineRule="auto"/>
              <w:jc w:val="center"/>
              <w:rPr>
                <w:rFonts w:ascii="宋体" w:hAnsi="宋体"/>
                <w:sz w:val="21"/>
                <w:szCs w:val="21"/>
              </w:rPr>
            </w:pPr>
            <w:r>
              <w:rPr>
                <w:rFonts w:hint="eastAsia" w:ascii="宋体" w:hAnsi="宋体"/>
                <w:sz w:val="21"/>
                <w:szCs w:val="21"/>
              </w:rPr>
              <w:t>首页/总览</w:t>
            </w:r>
          </w:p>
        </w:tc>
        <w:tc>
          <w:tcPr>
            <w:tcW w:w="3675" w:type="dxa"/>
            <w:vAlign w:val="center"/>
          </w:tcPr>
          <w:p>
            <w:pPr>
              <w:adjustRightInd w:val="0"/>
              <w:snapToGrid w:val="0"/>
              <w:spacing w:line="288" w:lineRule="auto"/>
              <w:rPr>
                <w:rFonts w:ascii="宋体" w:hAnsi="宋体"/>
                <w:sz w:val="21"/>
                <w:szCs w:val="21"/>
              </w:rPr>
            </w:pPr>
            <w:r>
              <w:rPr>
                <w:rFonts w:hint="eastAsia" w:ascii="宋体" w:hAnsi="宋体"/>
                <w:sz w:val="21"/>
                <w:szCs w:val="21"/>
              </w:rPr>
              <w:t>展示了每一个测站在线/离线状况，还可以查看报警状况，页面功能有接收机在线离线数统计、接收机状态监测、接收机监测信息统计和接收机报警信息日志</w:t>
            </w:r>
          </w:p>
        </w:tc>
        <w:tc>
          <w:tcPr>
            <w:tcW w:w="3678" w:type="dxa"/>
            <w:vAlign w:val="center"/>
          </w:tcPr>
          <w:p>
            <w:pPr>
              <w:adjustRightInd w:val="0"/>
              <w:snapToGrid w:val="0"/>
              <w:spacing w:line="288" w:lineRule="auto"/>
              <w:rPr>
                <w:rFonts w:ascii="宋体" w:hAnsi="宋体"/>
                <w:sz w:val="21"/>
                <w:szCs w:val="21"/>
              </w:rPr>
            </w:pPr>
            <w:r>
              <w:rPr>
                <w:rFonts w:hint="eastAsia" w:ascii="宋体" w:hAnsi="宋体"/>
                <w:sz w:val="21"/>
                <w:szCs w:val="21"/>
              </w:rPr>
              <w:t>支持交互切换.</w:t>
            </w:r>
          </w:p>
        </w:tc>
      </w:tr>
    </w:tbl>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5NmE3Zjc2YjhlM2EyNmZlNjdjM2VjZGM0YmQzMjAifQ=="/>
  </w:docVars>
  <w:rsids>
    <w:rsidRoot w:val="6EBF4DD5"/>
    <w:rsid w:val="6EBF4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semiHidden/>
    <w:unhideWhenUsed/>
    <w:qFormat/>
    <w:uiPriority w:val="99"/>
    <w:pPr>
      <w:spacing w:after="120"/>
    </w:p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2023-05-15T07:16:00Z</dcterms:created>
  <dc:creator>qszbrenshixingzheng</dc:creator>
  <cp:lastModifiedBy>qszbrenshixingzheng</cp:lastModifiedBy>
  <dcterms:modified xsi:type="dcterms:W3CDTF">2023-05-15T07:16:47Z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2B3868C32B244C6D93E01490C91B0975_11</vt:lpwstr>
  </property>
</Properties>
</file>