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88" w:lineRule="auto"/>
        <w:ind w:left="238"/>
        <w:jc w:val="center"/>
        <w:outlineLvl w:val="0"/>
        <w:rPr>
          <w:rFonts w:ascii="宋体" w:hAnsi="宋体"/>
          <w:b/>
          <w:bCs/>
          <w:sz w:val="32"/>
          <w:szCs w:val="32"/>
        </w:rPr>
      </w:pPr>
      <w:r>
        <w:rPr>
          <w:rFonts w:hint="eastAsia" w:ascii="宋体" w:hAnsi="宋体"/>
          <w:b/>
          <w:bCs/>
          <w:sz w:val="32"/>
          <w:szCs w:val="32"/>
        </w:rPr>
        <w:t>采购需求</w:t>
      </w:r>
    </w:p>
    <w:p>
      <w:pPr>
        <w:adjustRightInd w:val="0"/>
        <w:snapToGrid w:val="0"/>
        <w:spacing w:line="288" w:lineRule="auto"/>
        <w:ind w:left="238" w:hanging="238" w:hangingChars="113"/>
        <w:outlineLvl w:val="1"/>
        <w:rPr>
          <w:rFonts w:ascii="宋体" w:hAnsi="宋体"/>
          <w:b/>
          <w:sz w:val="21"/>
          <w:szCs w:val="21"/>
        </w:rPr>
      </w:pPr>
      <w:r>
        <w:rPr>
          <w:rFonts w:hint="eastAsia" w:ascii="宋体" w:hAnsi="宋体"/>
          <w:b/>
          <w:sz w:val="21"/>
          <w:szCs w:val="21"/>
        </w:rPr>
        <w:t>一</w:t>
      </w:r>
      <w:r>
        <w:rPr>
          <w:rFonts w:ascii="宋体" w:hAnsi="宋体"/>
          <w:b/>
          <w:sz w:val="21"/>
          <w:szCs w:val="21"/>
        </w:rPr>
        <w:t>、</w:t>
      </w:r>
      <w:r>
        <w:rPr>
          <w:rFonts w:hint="eastAsia" w:ascii="宋体" w:hAnsi="宋体"/>
          <w:b/>
          <w:sz w:val="21"/>
          <w:szCs w:val="21"/>
        </w:rPr>
        <w:t>为落实政府采购政策需满足的要求：</w:t>
      </w:r>
    </w:p>
    <w:tbl>
      <w:tblPr>
        <w:tblStyle w:val="7"/>
        <w:tblW w:w="94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3256"/>
        <w:gridCol w:w="5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bookmarkStart w:id="0" w:name="_Hlk45005599"/>
            <w:r>
              <w:rPr>
                <w:rFonts w:hint="eastAsia" w:ascii="宋体" w:hAnsi="宋体" w:cs="宋体"/>
                <w:b/>
                <w:bCs/>
                <w:sz w:val="21"/>
                <w:szCs w:val="21"/>
              </w:rPr>
              <w:t>序号</w:t>
            </w:r>
          </w:p>
        </w:tc>
        <w:tc>
          <w:tcPr>
            <w:tcW w:w="3256"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政策名称</w:t>
            </w:r>
          </w:p>
        </w:tc>
        <w:tc>
          <w:tcPr>
            <w:tcW w:w="5529"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1</w:t>
            </w:r>
          </w:p>
        </w:tc>
        <w:tc>
          <w:tcPr>
            <w:tcW w:w="3256"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政府采购进口产品</w:t>
            </w:r>
          </w:p>
        </w:tc>
        <w:tc>
          <w:tcPr>
            <w:tcW w:w="5529" w:type="dxa"/>
            <w:vAlign w:val="center"/>
          </w:tcPr>
          <w:p>
            <w:pPr>
              <w:adjustRightInd w:val="0"/>
              <w:snapToGrid w:val="0"/>
              <w:spacing w:line="288" w:lineRule="auto"/>
              <w:jc w:val="left"/>
              <w:rPr>
                <w:rFonts w:ascii="宋体" w:hAnsi="宋体" w:cs="宋体"/>
                <w:b/>
                <w:bCs/>
                <w:sz w:val="21"/>
                <w:szCs w:val="21"/>
                <w:highlight w:val="none"/>
              </w:rPr>
            </w:pPr>
            <w:r>
              <w:rPr>
                <w:rFonts w:hint="eastAsia" w:ascii="宋体" w:hAnsi="宋体" w:cs="宋体"/>
                <w:sz w:val="21"/>
                <w:szCs w:val="21"/>
                <w:highlight w:val="none"/>
              </w:rPr>
              <w:t>不允许采购进口产品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2</w:t>
            </w:r>
          </w:p>
        </w:tc>
        <w:tc>
          <w:tcPr>
            <w:tcW w:w="3256"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政府强制采购节能产品</w:t>
            </w:r>
          </w:p>
        </w:tc>
        <w:tc>
          <w:tcPr>
            <w:tcW w:w="5529" w:type="dxa"/>
            <w:vAlign w:val="center"/>
          </w:tcPr>
          <w:p>
            <w:pPr>
              <w:adjustRightInd w:val="0"/>
              <w:snapToGrid w:val="0"/>
              <w:spacing w:line="288" w:lineRule="auto"/>
              <w:jc w:val="left"/>
              <w:rPr>
                <w:rFonts w:ascii="宋体" w:hAnsi="宋体" w:cs="宋体"/>
                <w:b/>
                <w:bCs/>
                <w:sz w:val="21"/>
                <w:szCs w:val="21"/>
                <w:highlight w:val="none"/>
              </w:rPr>
            </w:pPr>
            <w:r>
              <w:rPr>
                <w:rFonts w:hint="eastAsia" w:ascii="宋体" w:hAnsi="宋体" w:cs="宋体"/>
                <w:sz w:val="21"/>
                <w:szCs w:val="21"/>
                <w:highlight w:val="none"/>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3</w:t>
            </w:r>
          </w:p>
        </w:tc>
        <w:tc>
          <w:tcPr>
            <w:tcW w:w="3256"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政府优先采购节能、环保产品</w:t>
            </w:r>
          </w:p>
        </w:tc>
        <w:tc>
          <w:tcPr>
            <w:tcW w:w="5529" w:type="dxa"/>
            <w:vAlign w:val="center"/>
          </w:tcPr>
          <w:p>
            <w:pPr>
              <w:adjustRightInd w:val="0"/>
              <w:snapToGrid w:val="0"/>
              <w:spacing w:line="288" w:lineRule="auto"/>
              <w:jc w:val="left"/>
              <w:rPr>
                <w:rFonts w:ascii="宋体" w:hAnsi="宋体" w:cs="宋体"/>
                <w:b/>
                <w:bCs/>
                <w:sz w:val="21"/>
                <w:szCs w:val="21"/>
                <w:highlight w:val="none"/>
              </w:rPr>
            </w:pPr>
            <w:r>
              <w:rPr>
                <w:rFonts w:hint="eastAsia" w:ascii="宋体" w:hAnsi="宋体" w:cs="宋体"/>
                <w:sz w:val="21"/>
                <w:szCs w:val="21"/>
                <w:highlight w:val="none"/>
              </w:rPr>
              <w:t>提供材料详见招标文件第六章“商务和技术文件”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4</w:t>
            </w:r>
          </w:p>
        </w:tc>
        <w:tc>
          <w:tcPr>
            <w:tcW w:w="3256" w:type="dxa"/>
            <w:vAlign w:val="center"/>
          </w:tcPr>
          <w:p>
            <w:pPr>
              <w:adjustRightInd w:val="0"/>
              <w:snapToGrid w:val="0"/>
              <w:spacing w:line="288" w:lineRule="auto"/>
              <w:jc w:val="left"/>
              <w:rPr>
                <w:rFonts w:ascii="宋体" w:hAnsi="宋体" w:cs="宋体"/>
                <w:sz w:val="21"/>
                <w:szCs w:val="16"/>
              </w:rPr>
            </w:pPr>
            <w:r>
              <w:rPr>
                <w:rFonts w:hint="eastAsia" w:ascii="宋体" w:hAnsi="宋体" w:cs="宋体"/>
                <w:sz w:val="21"/>
                <w:szCs w:val="16"/>
              </w:rPr>
              <w:t>政府采购支持科技创新</w:t>
            </w:r>
          </w:p>
        </w:tc>
        <w:tc>
          <w:tcPr>
            <w:tcW w:w="5529" w:type="dxa"/>
            <w:vAlign w:val="center"/>
          </w:tcPr>
          <w:p>
            <w:pPr>
              <w:adjustRightInd w:val="0"/>
              <w:snapToGrid w:val="0"/>
              <w:spacing w:line="288" w:lineRule="auto"/>
              <w:jc w:val="left"/>
              <w:rPr>
                <w:rFonts w:ascii="宋体" w:hAnsi="宋体" w:cs="宋体"/>
                <w:sz w:val="21"/>
                <w:szCs w:val="16"/>
                <w:highlight w:val="none"/>
              </w:rPr>
            </w:pPr>
            <w:r>
              <w:rPr>
                <w:rFonts w:hint="eastAsia" w:ascii="宋体" w:hAnsi="宋体" w:cs="宋体"/>
                <w:sz w:val="21"/>
                <w:szCs w:val="16"/>
                <w:highlight w:val="none"/>
              </w:rPr>
              <w:t>提供材料详见招标文件第六章“商务和技术文件”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5</w:t>
            </w:r>
          </w:p>
        </w:tc>
        <w:tc>
          <w:tcPr>
            <w:tcW w:w="3256"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政府采购促进中小企业发展</w:t>
            </w:r>
          </w:p>
        </w:tc>
        <w:tc>
          <w:tcPr>
            <w:tcW w:w="5529" w:type="dxa"/>
            <w:vAlign w:val="center"/>
          </w:tcPr>
          <w:p>
            <w:pPr>
              <w:adjustRightInd w:val="0"/>
              <w:snapToGrid w:val="0"/>
              <w:spacing w:line="288" w:lineRule="auto"/>
              <w:jc w:val="left"/>
              <w:rPr>
                <w:rFonts w:ascii="宋体" w:hAnsi="宋体" w:cs="宋体"/>
                <w:sz w:val="21"/>
                <w:szCs w:val="21"/>
                <w:highlight w:val="none"/>
              </w:rPr>
            </w:pPr>
            <w:r>
              <w:rPr>
                <w:rFonts w:hint="eastAsia" w:ascii="宋体" w:hAnsi="宋体" w:cs="宋体"/>
                <w:sz w:val="21"/>
                <w:szCs w:val="21"/>
                <w:highlight w:val="none"/>
              </w:rPr>
              <w:t>提供材料详见招标文件第六章“报价文件”</w:t>
            </w:r>
          </w:p>
          <w:p>
            <w:pPr>
              <w:adjustRightInd w:val="0"/>
              <w:snapToGrid w:val="0"/>
              <w:spacing w:line="288" w:lineRule="auto"/>
              <w:jc w:val="left"/>
              <w:rPr>
                <w:rFonts w:ascii="宋体" w:hAnsi="宋体"/>
                <w:b/>
                <w:bCs/>
                <w:sz w:val="21"/>
                <w:szCs w:val="21"/>
                <w:highlight w:val="none"/>
              </w:rPr>
            </w:pPr>
            <w:r>
              <w:rPr>
                <w:rFonts w:hint="eastAsia" w:ascii="宋体" w:hAnsi="宋体"/>
                <w:b/>
                <w:bCs/>
                <w:sz w:val="21"/>
                <w:szCs w:val="21"/>
                <w:highlight w:val="none"/>
              </w:rPr>
              <w:t>本项目属性为：</w:t>
            </w:r>
            <w:r>
              <w:rPr>
                <w:rFonts w:hint="eastAsia" w:ascii="宋体" w:hAnsi="宋体"/>
                <w:b/>
                <w:bCs/>
                <w:color w:val="auto"/>
                <w:sz w:val="21"/>
                <w:szCs w:val="21"/>
                <w:highlight w:val="none"/>
              </w:rPr>
              <w:t>货物</w:t>
            </w:r>
          </w:p>
          <w:p>
            <w:pPr>
              <w:adjustRightInd w:val="0"/>
              <w:snapToGrid w:val="0"/>
              <w:spacing w:line="288" w:lineRule="auto"/>
              <w:jc w:val="left"/>
              <w:rPr>
                <w:rFonts w:ascii="宋体" w:hAnsi="宋体"/>
                <w:b/>
                <w:bCs/>
                <w:sz w:val="21"/>
                <w:szCs w:val="21"/>
                <w:highlight w:val="none"/>
              </w:rPr>
            </w:pPr>
            <w:r>
              <w:rPr>
                <w:rFonts w:hint="eastAsia" w:ascii="宋体" w:hAnsi="宋体"/>
                <w:b/>
                <w:bCs/>
                <w:sz w:val="21"/>
                <w:szCs w:val="21"/>
                <w:highlight w:val="none"/>
              </w:rPr>
              <w:t>采购标的对应的中小企业划分标准所属行业：工业</w:t>
            </w:r>
          </w:p>
          <w:p>
            <w:pPr>
              <w:adjustRightInd w:val="0"/>
              <w:snapToGrid w:val="0"/>
              <w:spacing w:line="288" w:lineRule="auto"/>
              <w:jc w:val="left"/>
              <w:rPr>
                <w:rFonts w:ascii="宋体" w:hAnsi="宋体" w:cs="宋体"/>
                <w:b/>
                <w:bCs/>
                <w:sz w:val="21"/>
                <w:szCs w:val="21"/>
                <w:highlight w:val="none"/>
              </w:rPr>
            </w:pPr>
            <w:r>
              <w:rPr>
                <w:rFonts w:hint="eastAsia" w:ascii="宋体" w:hAnsi="宋体"/>
                <w:b/>
                <w:bCs/>
                <w:sz w:val="21"/>
                <w:szCs w:val="21"/>
                <w:highlight w:val="none"/>
              </w:rPr>
              <w:t>中小企业划型标准：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6</w:t>
            </w:r>
          </w:p>
        </w:tc>
        <w:tc>
          <w:tcPr>
            <w:tcW w:w="3256"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政府采购支持监狱企业发展</w:t>
            </w:r>
          </w:p>
        </w:tc>
        <w:tc>
          <w:tcPr>
            <w:tcW w:w="5529" w:type="dxa"/>
            <w:vAlign w:val="center"/>
          </w:tcPr>
          <w:p>
            <w:pPr>
              <w:adjustRightInd w:val="0"/>
              <w:snapToGrid w:val="0"/>
              <w:spacing w:line="288" w:lineRule="auto"/>
              <w:jc w:val="left"/>
              <w:rPr>
                <w:rFonts w:ascii="宋体" w:hAnsi="宋体"/>
                <w:b/>
                <w:bCs/>
                <w:sz w:val="21"/>
                <w:szCs w:val="21"/>
                <w:highlight w:val="none"/>
              </w:rPr>
            </w:pPr>
            <w:r>
              <w:rPr>
                <w:rFonts w:hint="eastAsia" w:ascii="宋体" w:hAnsi="宋体" w:cs="宋体"/>
                <w:sz w:val="21"/>
                <w:szCs w:val="21"/>
                <w:highlight w:val="none"/>
              </w:rPr>
              <w:t>提供材料详见招标文件第六章“报价文件”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7</w:t>
            </w:r>
          </w:p>
        </w:tc>
        <w:tc>
          <w:tcPr>
            <w:tcW w:w="3256"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政府采购促进残疾人就业</w:t>
            </w:r>
          </w:p>
        </w:tc>
        <w:tc>
          <w:tcPr>
            <w:tcW w:w="5529" w:type="dxa"/>
            <w:vAlign w:val="center"/>
          </w:tcPr>
          <w:p>
            <w:pPr>
              <w:adjustRightInd w:val="0"/>
              <w:snapToGrid w:val="0"/>
              <w:spacing w:line="288" w:lineRule="auto"/>
              <w:jc w:val="left"/>
              <w:rPr>
                <w:rFonts w:ascii="宋体" w:hAnsi="宋体" w:cs="宋体"/>
                <w:sz w:val="21"/>
                <w:szCs w:val="21"/>
                <w:highlight w:val="none"/>
              </w:rPr>
            </w:pPr>
            <w:r>
              <w:rPr>
                <w:rFonts w:hint="eastAsia" w:ascii="宋体" w:hAnsi="宋体" w:cs="宋体"/>
                <w:sz w:val="21"/>
                <w:szCs w:val="21"/>
                <w:highlight w:val="none"/>
              </w:rPr>
              <w:t>提供材料详见招标文件第六章“报价文件”</w:t>
            </w:r>
          </w:p>
        </w:tc>
      </w:tr>
      <w:bookmarkEnd w:id="0"/>
    </w:tbl>
    <w:p>
      <w:pPr>
        <w:adjustRightInd w:val="0"/>
        <w:snapToGrid w:val="0"/>
        <w:spacing w:line="288" w:lineRule="auto"/>
        <w:rPr>
          <w:rFonts w:ascii="宋体" w:hAnsi="宋体"/>
          <w:sz w:val="21"/>
          <w:szCs w:val="21"/>
        </w:rPr>
      </w:pPr>
    </w:p>
    <w:p>
      <w:pPr>
        <w:adjustRightInd w:val="0"/>
        <w:snapToGrid w:val="0"/>
        <w:spacing w:line="288" w:lineRule="auto"/>
        <w:outlineLvl w:val="1"/>
        <w:rPr>
          <w:rFonts w:ascii="宋体" w:hAnsi="宋体"/>
          <w:b/>
          <w:sz w:val="21"/>
          <w:szCs w:val="21"/>
          <w:highlight w:val="yellow"/>
        </w:rPr>
      </w:pPr>
      <w:r>
        <w:rPr>
          <w:rFonts w:hint="eastAsia" w:ascii="宋体" w:hAnsi="宋体"/>
          <w:b/>
          <w:sz w:val="21"/>
          <w:szCs w:val="21"/>
        </w:rPr>
        <w:t>二</w:t>
      </w:r>
      <w:r>
        <w:rPr>
          <w:rFonts w:ascii="宋体" w:hAnsi="宋体"/>
          <w:b/>
          <w:sz w:val="21"/>
          <w:szCs w:val="21"/>
        </w:rPr>
        <w:t>、</w:t>
      </w:r>
      <w:r>
        <w:rPr>
          <w:rFonts w:hint="eastAsia" w:ascii="宋体" w:hAnsi="宋体"/>
          <w:b/>
          <w:sz w:val="21"/>
          <w:szCs w:val="21"/>
        </w:rPr>
        <w:t>采购资金的支付方式、时间、条件：</w:t>
      </w:r>
    </w:p>
    <w:tbl>
      <w:tblPr>
        <w:tblStyle w:val="7"/>
        <w:tblW w:w="9493" w:type="dxa"/>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43"/>
        <w:gridCol w:w="76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b/>
                <w:spacing w:val="-6"/>
                <w:sz w:val="21"/>
                <w:szCs w:val="21"/>
              </w:rPr>
            </w:pPr>
            <w:bookmarkStart w:id="1" w:name="_Hlk45005608"/>
            <w:r>
              <w:rPr>
                <w:rFonts w:hint="eastAsia" w:ascii="宋体" w:hAnsi="宋体"/>
                <w:b/>
                <w:spacing w:val="-6"/>
                <w:sz w:val="21"/>
                <w:szCs w:val="21"/>
              </w:rPr>
              <w:t>付款方式</w:t>
            </w:r>
          </w:p>
        </w:tc>
        <w:tc>
          <w:tcPr>
            <w:tcW w:w="765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1、货款支付方式：</w:t>
            </w:r>
          </w:p>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（1）国产设备及境内直接供货的进口设备：货到经安装调试，用户认定合格后，凭用户出具的安装调试报告支付9</w:t>
            </w:r>
            <w:r>
              <w:rPr>
                <w:rFonts w:hint="eastAsia" w:ascii="宋体" w:hAnsi="宋体" w:cs="宋体"/>
                <w:spacing w:val="-6"/>
                <w:kern w:val="0"/>
                <w:sz w:val="21"/>
                <w:szCs w:val="21"/>
                <w:highlight w:val="none"/>
                <w:lang w:val="en-US" w:eastAsia="zh-CN"/>
              </w:rPr>
              <w:t>0</w:t>
            </w:r>
            <w:r>
              <w:rPr>
                <w:rFonts w:hint="eastAsia" w:ascii="宋体" w:hAnsi="宋体" w:cs="宋体"/>
                <w:spacing w:val="-6"/>
                <w:kern w:val="0"/>
                <w:sz w:val="21"/>
                <w:szCs w:val="21"/>
                <w:highlight w:val="none"/>
              </w:rPr>
              <w:t>%货款；验收合格后凭用户出具的验收报告支付</w:t>
            </w:r>
            <w:r>
              <w:rPr>
                <w:rFonts w:hint="eastAsia" w:ascii="宋体" w:hAnsi="宋体" w:cs="宋体"/>
                <w:spacing w:val="-6"/>
                <w:kern w:val="0"/>
                <w:sz w:val="21"/>
                <w:szCs w:val="21"/>
                <w:highlight w:val="none"/>
                <w:lang w:val="en-US" w:eastAsia="zh-CN"/>
              </w:rPr>
              <w:t>10</w:t>
            </w:r>
            <w:r>
              <w:rPr>
                <w:rFonts w:hint="eastAsia" w:ascii="宋体" w:hAnsi="宋体" w:cs="宋体"/>
                <w:spacing w:val="-6"/>
                <w:kern w:val="0"/>
                <w:sz w:val="21"/>
                <w:szCs w:val="21"/>
                <w:highlight w:val="none"/>
              </w:rPr>
              <w:t>%。</w:t>
            </w:r>
          </w:p>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2、货款的结算：</w:t>
            </w:r>
          </w:p>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（1）国产设备及境内直接供货的进口设备货款由需方负责支付。</w:t>
            </w:r>
          </w:p>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开票信息：开具增值税专用发票；</w:t>
            </w:r>
          </w:p>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抬头：浙江大学</w:t>
            </w:r>
          </w:p>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纳税人识别号：12100000470095016Q</w:t>
            </w:r>
          </w:p>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地址：杭州市余杭塘路866号，电话88981919</w:t>
            </w:r>
          </w:p>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开户行：农行杭州市浙大支行紫金港支行</w:t>
            </w:r>
          </w:p>
          <w:p>
            <w:pPr>
              <w:autoSpaceDE w:val="0"/>
              <w:autoSpaceDN w:val="0"/>
              <w:adjustRightInd w:val="0"/>
              <w:snapToGrid w:val="0"/>
              <w:spacing w:line="288" w:lineRule="auto"/>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账号：19042201040000014</w:t>
            </w:r>
          </w:p>
          <w:p>
            <w:pPr>
              <w:autoSpaceDE w:val="0"/>
              <w:autoSpaceDN w:val="0"/>
              <w:adjustRightInd w:val="0"/>
              <w:snapToGrid w:val="0"/>
              <w:spacing w:line="288" w:lineRule="auto"/>
              <w:jc w:val="left"/>
              <w:rPr>
                <w:rFonts w:ascii="宋体" w:hAnsi="宋体" w:cs="宋体"/>
                <w:spacing w:val="-6"/>
                <w:kern w:val="0"/>
                <w:sz w:val="21"/>
                <w:szCs w:val="21"/>
                <w:highlight w:val="yellow"/>
              </w:rPr>
            </w:pPr>
            <w:r>
              <w:rPr>
                <w:rFonts w:hint="eastAsia" w:ascii="宋体" w:hAnsi="宋体" w:cs="宋体"/>
                <w:spacing w:val="-6"/>
                <w:kern w:val="0"/>
                <w:sz w:val="21"/>
                <w:szCs w:val="21"/>
                <w:highlight w:val="none"/>
              </w:rPr>
              <w:t>行号：103331004223</w:t>
            </w:r>
          </w:p>
        </w:tc>
      </w:tr>
      <w:bookmarkEnd w:id="1"/>
    </w:tbl>
    <w:p>
      <w:pPr>
        <w:adjustRightInd w:val="0"/>
        <w:snapToGrid w:val="0"/>
        <w:spacing w:line="288" w:lineRule="auto"/>
        <w:ind w:left="238" w:hanging="238" w:hangingChars="113"/>
        <w:rPr>
          <w:rFonts w:ascii="宋体" w:hAnsi="宋体"/>
          <w:b/>
          <w:sz w:val="21"/>
          <w:szCs w:val="21"/>
        </w:rPr>
      </w:pPr>
    </w:p>
    <w:p>
      <w:pPr>
        <w:adjustRightInd w:val="0"/>
        <w:snapToGrid w:val="0"/>
        <w:spacing w:line="288" w:lineRule="auto"/>
        <w:ind w:left="238" w:hanging="238" w:hangingChars="113"/>
        <w:outlineLvl w:val="1"/>
        <w:rPr>
          <w:rFonts w:ascii="宋体" w:hAnsi="宋体"/>
          <w:b/>
          <w:sz w:val="21"/>
          <w:szCs w:val="21"/>
        </w:rPr>
      </w:pPr>
      <w:r>
        <w:rPr>
          <w:rFonts w:hint="eastAsia" w:ascii="宋体" w:hAnsi="宋体"/>
          <w:b/>
          <w:sz w:val="21"/>
          <w:szCs w:val="21"/>
        </w:rPr>
        <w:t>三</w:t>
      </w:r>
      <w:r>
        <w:rPr>
          <w:rFonts w:ascii="宋体" w:hAnsi="宋体"/>
          <w:b/>
          <w:sz w:val="21"/>
          <w:szCs w:val="21"/>
        </w:rPr>
        <w:t>、</w:t>
      </w:r>
      <w:r>
        <w:rPr>
          <w:rFonts w:hint="eastAsia" w:ascii="宋体" w:hAnsi="宋体"/>
          <w:b/>
          <w:sz w:val="21"/>
          <w:szCs w:val="21"/>
        </w:rPr>
        <w:t>服务</w:t>
      </w:r>
      <w:r>
        <w:rPr>
          <w:rFonts w:ascii="宋体" w:hAnsi="宋体"/>
          <w:b/>
          <w:sz w:val="21"/>
          <w:szCs w:val="21"/>
        </w:rPr>
        <w:t>要求</w:t>
      </w:r>
      <w:r>
        <w:rPr>
          <w:rFonts w:hint="eastAsia" w:ascii="宋体" w:hAnsi="宋体"/>
          <w:b/>
          <w:spacing w:val="-6"/>
          <w:sz w:val="21"/>
          <w:szCs w:val="21"/>
        </w:rPr>
        <w:t>（技术要求里另有注明的以技术要求为准）</w:t>
      </w:r>
      <w:r>
        <w:rPr>
          <w:rFonts w:ascii="宋体" w:hAnsi="宋体"/>
          <w:b/>
          <w:sz w:val="21"/>
          <w:szCs w:val="21"/>
        </w:rPr>
        <w:t>：</w:t>
      </w:r>
    </w:p>
    <w:tbl>
      <w:tblPr>
        <w:tblStyle w:val="7"/>
        <w:tblW w:w="9498" w:type="dxa"/>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43"/>
        <w:gridCol w:w="7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交付时间</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yellow"/>
              </w:rPr>
            </w:pPr>
            <w:r>
              <w:rPr>
                <w:rFonts w:hint="eastAsia" w:ascii="宋体" w:hAnsi="宋体" w:cs="宋体"/>
                <w:sz w:val="21"/>
                <w:szCs w:val="21"/>
                <w:highlight w:val="none"/>
              </w:rPr>
              <w:t>合同签订后</w:t>
            </w:r>
            <w:r>
              <w:rPr>
                <w:rFonts w:hint="eastAsia" w:ascii="宋体" w:hAnsi="宋体" w:cs="宋体"/>
                <w:sz w:val="21"/>
                <w:szCs w:val="21"/>
                <w:highlight w:val="none"/>
                <w:lang w:val="en-US" w:eastAsia="zh-CN"/>
              </w:rPr>
              <w:t>30</w:t>
            </w:r>
            <w:r>
              <w:rPr>
                <w:rFonts w:hint="eastAsia" w:ascii="宋体" w:hAnsi="宋体" w:cs="宋体"/>
                <w:sz w:val="21"/>
                <w:szCs w:val="21"/>
                <w:highlight w:val="none"/>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交付地点</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yellow"/>
              </w:rPr>
            </w:pPr>
            <w:r>
              <w:rPr>
                <w:rFonts w:hint="eastAsia" w:ascii="宋体" w:hAnsi="宋体" w:cs="宋体"/>
                <w:sz w:val="21"/>
                <w:szCs w:val="21"/>
                <w:highlight w:val="none"/>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highlight w:val="none"/>
              </w:rPr>
              <w:t>▲</w:t>
            </w:r>
            <w:r>
              <w:rPr>
                <w:rFonts w:hint="eastAsia" w:ascii="宋体" w:hAnsi="宋体" w:cs="宋体"/>
                <w:b/>
                <w:bCs/>
                <w:sz w:val="21"/>
                <w:szCs w:val="21"/>
              </w:rPr>
              <w:t>质保期</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yellow"/>
              </w:rPr>
            </w:pPr>
            <w:r>
              <w:rPr>
                <w:rFonts w:hint="eastAsia" w:ascii="宋体" w:hAnsi="宋体" w:cs="宋体"/>
                <w:sz w:val="21"/>
                <w:szCs w:val="21"/>
                <w:highlight w:val="none"/>
                <w:lang w:val="en-US" w:eastAsia="zh-CN"/>
              </w:rPr>
              <w:t>2</w:t>
            </w:r>
            <w:r>
              <w:rPr>
                <w:rFonts w:hint="eastAsia" w:ascii="宋体" w:hAnsi="宋体" w:cs="宋体"/>
                <w:sz w:val="21"/>
                <w:szCs w:val="21"/>
                <w:highlight w:val="none"/>
              </w:rPr>
              <w:t>年，项目验收合格后开始计算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服务标准、期限、效率</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ascii="宋体" w:hAnsi="宋体" w:cs="宋体"/>
                <w:sz w:val="21"/>
                <w:szCs w:val="21"/>
              </w:rPr>
              <w:t>1</w:t>
            </w:r>
            <w:r>
              <w:rPr>
                <w:rFonts w:hint="eastAsia" w:ascii="宋体" w:hAnsi="宋体" w:cs="宋体"/>
                <w:sz w:val="21"/>
                <w:szCs w:val="21"/>
              </w:rPr>
              <w:t>.在质保期内，供应商应对货物出现的质量及安全问题负责处理解决并承担一切费用。</w:t>
            </w:r>
          </w:p>
          <w:p>
            <w:pPr>
              <w:adjustRightInd w:val="0"/>
              <w:snapToGrid w:val="0"/>
              <w:spacing w:line="288" w:lineRule="auto"/>
              <w:rPr>
                <w:rFonts w:ascii="宋体" w:hAnsi="宋体" w:cs="宋体"/>
                <w:sz w:val="21"/>
                <w:szCs w:val="21"/>
              </w:rPr>
            </w:pPr>
            <w:r>
              <w:rPr>
                <w:rFonts w:ascii="宋体" w:hAnsi="宋体" w:cs="宋体"/>
                <w:sz w:val="21"/>
                <w:szCs w:val="21"/>
              </w:rPr>
              <w:t>2.</w:t>
            </w:r>
            <w:r>
              <w:rPr>
                <w:rFonts w:hint="eastAsia" w:ascii="宋体" w:hAnsi="宋体" w:cs="宋体"/>
                <w:sz w:val="21"/>
                <w:szCs w:val="21"/>
              </w:rPr>
              <w:t>质保期内出现无法排除的故障，供应商需无条件更换同型号产品。</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质保期满后，供应商继续为采购人服务，仅收取零配件成本费。</w:t>
            </w:r>
          </w:p>
          <w:p>
            <w:pPr>
              <w:adjustRightInd w:val="0"/>
              <w:snapToGrid w:val="0"/>
              <w:spacing w:line="288" w:lineRule="auto"/>
              <w:rPr>
                <w:rFonts w:ascii="宋体" w:hAnsi="宋体" w:cs="宋体"/>
                <w:sz w:val="21"/>
                <w:szCs w:val="21"/>
              </w:rPr>
            </w:pPr>
            <w:r>
              <w:rPr>
                <w:rFonts w:ascii="宋体" w:hAnsi="宋体" w:cs="宋体"/>
                <w:sz w:val="21"/>
                <w:szCs w:val="21"/>
              </w:rPr>
              <w:t>4.</w:t>
            </w:r>
            <w:r>
              <w:rPr>
                <w:rFonts w:hint="eastAsia" w:ascii="宋体" w:hAnsi="宋体" w:cs="宋体"/>
                <w:sz w:val="21"/>
                <w:szCs w:val="21"/>
              </w:rPr>
              <w:t>因人为因素出现的故障不在免费保修范围内。</w:t>
            </w:r>
          </w:p>
          <w:p>
            <w:pPr>
              <w:adjustRightInd w:val="0"/>
              <w:snapToGrid w:val="0"/>
              <w:spacing w:line="288" w:lineRule="auto"/>
              <w:rPr>
                <w:rFonts w:ascii="宋体" w:hAnsi="宋体" w:cs="宋体"/>
                <w:sz w:val="21"/>
                <w:szCs w:val="21"/>
                <w:u w:val="none"/>
              </w:rPr>
            </w:pPr>
            <w:r>
              <w:rPr>
                <w:rFonts w:ascii="宋体" w:hAnsi="宋体" w:cs="宋体"/>
                <w:sz w:val="21"/>
                <w:szCs w:val="21"/>
              </w:rPr>
              <w:t>5</w:t>
            </w:r>
            <w:r>
              <w:rPr>
                <w:rFonts w:hint="eastAsia" w:ascii="宋体" w:hAnsi="宋体" w:cs="宋体"/>
                <w:sz w:val="21"/>
                <w:szCs w:val="21"/>
              </w:rPr>
              <w:t>.</w:t>
            </w:r>
            <w:r>
              <w:rPr>
                <w:rFonts w:hint="eastAsia" w:ascii="宋体" w:hAnsi="宋体" w:cs="宋体"/>
                <w:sz w:val="21"/>
                <w:szCs w:val="21"/>
                <w:u w:val="none"/>
              </w:rPr>
              <w:t>如在使用过程中发生质量问题，供应商维修响应时间：</w:t>
            </w:r>
            <w:r>
              <w:rPr>
                <w:rFonts w:hint="eastAsia" w:ascii="宋体" w:hAnsi="宋体" w:cs="宋体"/>
                <w:sz w:val="21"/>
                <w:szCs w:val="21"/>
                <w:u w:val="none"/>
                <w:lang w:val="en-US" w:eastAsia="zh-CN"/>
              </w:rPr>
              <w:t>2</w:t>
            </w:r>
            <w:r>
              <w:rPr>
                <w:rFonts w:hint="eastAsia" w:ascii="宋体" w:hAnsi="宋体" w:cs="宋体"/>
                <w:sz w:val="21"/>
                <w:szCs w:val="21"/>
                <w:u w:val="none"/>
              </w:rPr>
              <w:t>小时以内；</w:t>
            </w:r>
          </w:p>
          <w:p>
            <w:pPr>
              <w:adjustRightInd w:val="0"/>
              <w:snapToGrid w:val="0"/>
              <w:spacing w:line="288" w:lineRule="auto"/>
              <w:rPr>
                <w:rFonts w:ascii="宋体" w:hAnsi="宋体" w:cs="宋体"/>
                <w:sz w:val="21"/>
                <w:szCs w:val="21"/>
                <w:u w:val="none"/>
              </w:rPr>
            </w:pPr>
            <w:r>
              <w:rPr>
                <w:rFonts w:hint="eastAsia" w:ascii="宋体" w:hAnsi="宋体" w:cs="宋体"/>
                <w:sz w:val="21"/>
                <w:szCs w:val="21"/>
                <w:u w:val="none"/>
              </w:rPr>
              <w:t>电话技术支持时间：</w:t>
            </w:r>
            <w:r>
              <w:rPr>
                <w:rFonts w:hint="eastAsia" w:ascii="宋体" w:hAnsi="宋体" w:cs="宋体"/>
                <w:sz w:val="21"/>
                <w:szCs w:val="21"/>
                <w:u w:val="none"/>
                <w:lang w:val="en-US" w:eastAsia="zh-CN"/>
              </w:rPr>
              <w:t>2</w:t>
            </w:r>
            <w:r>
              <w:rPr>
                <w:rFonts w:hint="eastAsia" w:ascii="宋体" w:hAnsi="宋体" w:cs="宋体"/>
                <w:sz w:val="21"/>
                <w:szCs w:val="21"/>
                <w:u w:val="none"/>
              </w:rPr>
              <w:t>小时以内；</w:t>
            </w:r>
          </w:p>
          <w:p>
            <w:pPr>
              <w:adjustRightInd w:val="0"/>
              <w:snapToGrid w:val="0"/>
              <w:spacing w:line="288" w:lineRule="auto"/>
              <w:rPr>
                <w:rFonts w:ascii="宋体" w:hAnsi="宋体" w:cs="宋体"/>
                <w:sz w:val="21"/>
                <w:szCs w:val="21"/>
              </w:rPr>
            </w:pPr>
            <w:r>
              <w:rPr>
                <w:rFonts w:hint="eastAsia" w:ascii="宋体" w:hAnsi="宋体" w:cs="宋体"/>
                <w:sz w:val="21"/>
                <w:szCs w:val="21"/>
                <w:u w:val="none"/>
              </w:rPr>
              <w:t>若需上门维修，则在</w:t>
            </w:r>
            <w:r>
              <w:rPr>
                <w:rFonts w:hint="eastAsia" w:ascii="宋体" w:hAnsi="宋体" w:cs="宋体"/>
                <w:sz w:val="21"/>
                <w:szCs w:val="21"/>
                <w:u w:val="none"/>
                <w:lang w:val="en-US" w:eastAsia="zh-CN"/>
              </w:rPr>
              <w:t>48</w:t>
            </w:r>
            <w:r>
              <w:rPr>
                <w:rFonts w:hint="eastAsia" w:ascii="宋体" w:hAnsi="宋体" w:cs="宋体"/>
                <w:sz w:val="21"/>
                <w:szCs w:val="21"/>
                <w:u w:val="none"/>
              </w:rPr>
              <w:t>小时内到达现场并进行维修；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验收标准</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hint="eastAsia" w:ascii="宋体" w:hAnsi="宋体" w:cs="宋体"/>
                <w:sz w:val="21"/>
                <w:szCs w:val="21"/>
              </w:rPr>
              <w:t>1.验收由采购人负责实施；</w:t>
            </w:r>
          </w:p>
          <w:p>
            <w:pPr>
              <w:adjustRightInd w:val="0"/>
              <w:snapToGrid w:val="0"/>
              <w:spacing w:line="288" w:lineRule="auto"/>
              <w:rPr>
                <w:rFonts w:ascii="宋体" w:hAnsi="宋体" w:cs="宋体"/>
                <w:sz w:val="21"/>
                <w:szCs w:val="21"/>
              </w:rPr>
            </w:pPr>
            <w:r>
              <w:rPr>
                <w:rFonts w:hint="eastAsia" w:ascii="宋体" w:hAnsi="宋体" w:cs="宋体"/>
                <w:sz w:val="21"/>
                <w:szCs w:val="21"/>
              </w:rPr>
              <w:t>2.验收依据：</w:t>
            </w:r>
          </w:p>
          <w:p>
            <w:pPr>
              <w:adjustRightInd w:val="0"/>
              <w:snapToGrid w:val="0"/>
              <w:spacing w:line="288" w:lineRule="auto"/>
              <w:rPr>
                <w:rFonts w:ascii="宋体" w:hAnsi="宋体" w:cs="宋体"/>
                <w:sz w:val="21"/>
                <w:szCs w:val="21"/>
              </w:rPr>
            </w:pPr>
            <w:r>
              <w:rPr>
                <w:rFonts w:hint="eastAsia" w:ascii="宋体" w:hAnsi="宋体" w:cs="宋体"/>
                <w:sz w:val="21"/>
                <w:szCs w:val="21"/>
              </w:rPr>
              <w:t>2.1合同、招标文件、投标文件；</w:t>
            </w:r>
          </w:p>
          <w:p>
            <w:pPr>
              <w:adjustRightInd w:val="0"/>
              <w:snapToGrid w:val="0"/>
              <w:spacing w:line="288" w:lineRule="auto"/>
              <w:rPr>
                <w:rFonts w:ascii="宋体" w:hAnsi="宋体" w:cs="宋体"/>
                <w:sz w:val="21"/>
                <w:szCs w:val="21"/>
              </w:rPr>
            </w:pPr>
            <w:r>
              <w:rPr>
                <w:rFonts w:hint="eastAsia" w:ascii="宋体" w:hAnsi="宋体" w:cs="宋体"/>
                <w:sz w:val="21"/>
                <w:szCs w:val="21"/>
              </w:rPr>
              <w:t>2.2供应商提供的技术规格、经采购人认可的合同货物的有效检验文件；</w:t>
            </w:r>
          </w:p>
          <w:p>
            <w:pPr>
              <w:adjustRightInd w:val="0"/>
              <w:snapToGrid w:val="0"/>
              <w:spacing w:line="288" w:lineRule="auto"/>
              <w:rPr>
                <w:rFonts w:ascii="宋体" w:hAnsi="宋体" w:cs="宋体"/>
                <w:sz w:val="21"/>
                <w:szCs w:val="21"/>
              </w:rPr>
            </w:pPr>
            <w:r>
              <w:rPr>
                <w:rFonts w:hint="eastAsia" w:ascii="宋体" w:hAnsi="宋体" w:cs="宋体"/>
                <w:sz w:val="21"/>
                <w:szCs w:val="21"/>
              </w:rPr>
              <w:t>2.3供应商投标文件中提供的经采购人认可的合同货物的验收标准（符合中国有关的国家、地方、行业标准）和检测办法及相应检测手段。</w:t>
            </w:r>
          </w:p>
          <w:p>
            <w:pPr>
              <w:adjustRightInd w:val="0"/>
              <w:snapToGrid w:val="0"/>
              <w:spacing w:line="288" w:lineRule="auto"/>
              <w:rPr>
                <w:rFonts w:ascii="宋体" w:hAnsi="宋体" w:cs="宋体"/>
                <w:sz w:val="21"/>
                <w:szCs w:val="21"/>
              </w:rPr>
            </w:pPr>
            <w:r>
              <w:rPr>
                <w:rFonts w:hint="eastAsia" w:ascii="宋体" w:hAnsi="宋体" w:cs="宋体"/>
                <w:sz w:val="21"/>
                <w:szCs w:val="21"/>
              </w:rPr>
              <w:t>3.供应商应派员在所供货物到采购人处时进行到货验收，有需要时能联系产品制造商到场共同验收，若发现任何损坏及质量问题，供应商负责妥善处理直至采购人满意，由此产生的费用由供应商承担。</w:t>
            </w:r>
          </w:p>
          <w:p>
            <w:pPr>
              <w:adjustRightInd w:val="0"/>
              <w:snapToGrid w:val="0"/>
              <w:spacing w:line="288" w:lineRule="auto"/>
              <w:rPr>
                <w:rFonts w:ascii="宋体" w:hAnsi="宋体" w:cs="宋体"/>
                <w:sz w:val="21"/>
                <w:szCs w:val="21"/>
              </w:rPr>
            </w:pPr>
            <w:r>
              <w:rPr>
                <w:rFonts w:hint="eastAsia" w:ascii="宋体" w:hAnsi="宋体" w:cs="宋体"/>
                <w:sz w:val="21"/>
                <w:szCs w:val="21"/>
              </w:rPr>
              <w:t>4.验收合格的条件：</w:t>
            </w:r>
          </w:p>
          <w:p>
            <w:pPr>
              <w:adjustRightInd w:val="0"/>
              <w:snapToGrid w:val="0"/>
              <w:spacing w:line="288" w:lineRule="auto"/>
              <w:rPr>
                <w:rFonts w:ascii="宋体" w:hAnsi="宋体" w:cs="宋体"/>
                <w:sz w:val="21"/>
                <w:szCs w:val="21"/>
              </w:rPr>
            </w:pPr>
            <w:r>
              <w:rPr>
                <w:rFonts w:hint="eastAsia" w:ascii="宋体" w:hAnsi="宋体" w:cs="宋体"/>
                <w:sz w:val="21"/>
                <w:szCs w:val="21"/>
              </w:rPr>
              <w:t>4.1所供货物符合产品标准和合同的要求；</w:t>
            </w:r>
          </w:p>
          <w:p>
            <w:pPr>
              <w:adjustRightInd w:val="0"/>
              <w:snapToGrid w:val="0"/>
              <w:spacing w:line="288" w:lineRule="auto"/>
              <w:rPr>
                <w:rFonts w:ascii="宋体" w:hAnsi="宋体" w:cs="宋体"/>
                <w:sz w:val="21"/>
                <w:szCs w:val="21"/>
              </w:rPr>
            </w:pPr>
            <w:r>
              <w:rPr>
                <w:rFonts w:hint="eastAsia" w:ascii="宋体" w:hAnsi="宋体" w:cs="宋体"/>
                <w:sz w:val="21"/>
                <w:szCs w:val="21"/>
              </w:rPr>
              <w:t>4.2在进行测试和验收过程中发现的问题已被解决并得到采购人的认可；</w:t>
            </w:r>
          </w:p>
          <w:p>
            <w:pPr>
              <w:adjustRightInd w:val="0"/>
              <w:snapToGrid w:val="0"/>
              <w:spacing w:line="288" w:lineRule="auto"/>
              <w:rPr>
                <w:rFonts w:ascii="宋体" w:hAnsi="宋体" w:cs="宋体"/>
                <w:sz w:val="21"/>
                <w:szCs w:val="21"/>
              </w:rPr>
            </w:pPr>
            <w:r>
              <w:rPr>
                <w:rFonts w:hint="eastAsia" w:ascii="宋体" w:hAnsi="宋体" w:cs="宋体"/>
                <w:sz w:val="21"/>
                <w:szCs w:val="21"/>
              </w:rPr>
              <w:t>4.3合同中规定的所有货物和材料均已交付；</w:t>
            </w:r>
          </w:p>
          <w:p>
            <w:pPr>
              <w:adjustRightInd w:val="0"/>
              <w:snapToGrid w:val="0"/>
              <w:spacing w:line="288" w:lineRule="auto"/>
              <w:rPr>
                <w:rFonts w:ascii="宋体" w:hAnsi="宋体" w:cs="宋体"/>
                <w:sz w:val="21"/>
                <w:szCs w:val="21"/>
              </w:rPr>
            </w:pPr>
            <w:r>
              <w:rPr>
                <w:rFonts w:hint="eastAsia" w:ascii="宋体" w:hAnsi="宋体" w:cs="宋体"/>
                <w:sz w:val="21"/>
                <w:szCs w:val="21"/>
              </w:rPr>
              <w:t>4.4所供货物已通过使用单位组织的验收；</w:t>
            </w:r>
          </w:p>
          <w:p>
            <w:pPr>
              <w:adjustRightInd w:val="0"/>
              <w:snapToGrid w:val="0"/>
              <w:spacing w:line="288" w:lineRule="auto"/>
              <w:rPr>
                <w:rFonts w:ascii="宋体" w:hAnsi="宋体" w:cs="宋体"/>
                <w:sz w:val="21"/>
                <w:szCs w:val="21"/>
              </w:rPr>
            </w:pPr>
            <w:r>
              <w:rPr>
                <w:rFonts w:hint="eastAsia" w:ascii="宋体" w:hAnsi="宋体" w:cs="宋体"/>
                <w:sz w:val="21"/>
                <w:szCs w:val="21"/>
              </w:rPr>
              <w:t>4.5所有相关的技术文件及资料均已提交并得到接受。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其他技术、服务要求</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1</w:t>
            </w:r>
            <w:r>
              <w:rPr>
                <w:rFonts w:ascii="宋体" w:hAnsi="宋体" w:cs="宋体"/>
                <w:sz w:val="21"/>
                <w:szCs w:val="21"/>
                <w:highlight w:val="none"/>
              </w:rPr>
              <w:t>.</w:t>
            </w:r>
            <w:r>
              <w:rPr>
                <w:rFonts w:hint="eastAsia" w:ascii="宋体" w:hAnsi="宋体" w:cs="宋体"/>
                <w:sz w:val="21"/>
                <w:szCs w:val="21"/>
                <w:highlight w:val="none"/>
              </w:rPr>
              <w:t>供应商应按招标文件规定的货物性能、技术要求、质量标准向采购人提供未经使用的全新产品，符合国家法律规定和技术规格、质量标准的出厂原装合格产品。</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2</w:t>
            </w:r>
            <w:r>
              <w:rPr>
                <w:rFonts w:hint="eastAsia" w:ascii="宋体" w:hAnsi="宋体" w:cs="宋体"/>
                <w:sz w:val="21"/>
                <w:szCs w:val="21"/>
                <w:highlight w:val="none"/>
              </w:rPr>
              <w:t>.技术支持：</w:t>
            </w:r>
          </w:p>
          <w:p>
            <w:pPr>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供应商应及时免费提供合同货物软件的升级，免费提供合同货物新功能和应用的资料。</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3</w:t>
            </w:r>
            <w:r>
              <w:rPr>
                <w:rFonts w:hint="eastAsia" w:ascii="宋体" w:hAnsi="宋体" w:cs="宋体"/>
                <w:sz w:val="21"/>
                <w:szCs w:val="21"/>
                <w:highlight w:val="none"/>
              </w:rPr>
              <w:t>.安装调试：</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3</w:t>
            </w:r>
            <w:r>
              <w:rPr>
                <w:rFonts w:hint="eastAsia" w:ascii="宋体" w:hAnsi="宋体" w:cs="宋体"/>
                <w:sz w:val="21"/>
                <w:szCs w:val="21"/>
                <w:highlight w:val="none"/>
              </w:rPr>
              <w:t>.1安装地点：采购人指定地点；</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3</w:t>
            </w:r>
            <w:r>
              <w:rPr>
                <w:rFonts w:hint="eastAsia" w:ascii="宋体" w:hAnsi="宋体" w:cs="宋体"/>
                <w:sz w:val="21"/>
                <w:szCs w:val="21"/>
                <w:highlight w:val="none"/>
              </w:rPr>
              <w:t>.2安装完成时间：接到采购人通知后在规定时间内完成安装和调试，如在规定的时间内由于供应商的原因不能完成安装和调试，供应商应承担由此给采购人造成的损失；</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3</w:t>
            </w:r>
            <w:r>
              <w:rPr>
                <w:rFonts w:hint="eastAsia" w:ascii="宋体" w:hAnsi="宋体" w:cs="宋体"/>
                <w:sz w:val="21"/>
                <w:szCs w:val="21"/>
                <w:highlight w:val="none"/>
              </w:rPr>
              <w:t>.3如供应商委托国内代理（或其他机构）负责安装或配合安装应在签约时指明，但供应商仍要对合同货物及其安装质量负全部责任；</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3</w:t>
            </w:r>
            <w:r>
              <w:rPr>
                <w:rFonts w:hint="eastAsia" w:ascii="宋体" w:hAnsi="宋体" w:cs="宋体"/>
                <w:sz w:val="21"/>
                <w:szCs w:val="21"/>
                <w:highlight w:val="none"/>
              </w:rPr>
              <w:t>.4安装标准：符合我国国家有关技术规范要求和技术标准，所有的软件和硬件必须保证同时安装到位；</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3</w:t>
            </w:r>
            <w:r>
              <w:rPr>
                <w:rFonts w:hint="eastAsia" w:ascii="宋体" w:hAnsi="宋体" w:cs="宋体"/>
                <w:sz w:val="21"/>
                <w:szCs w:val="21"/>
                <w:highlight w:val="none"/>
              </w:rPr>
              <w:t>.5供应商免费提供合同货物的安装服务；</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3</w:t>
            </w:r>
            <w:r>
              <w:rPr>
                <w:rFonts w:hint="eastAsia" w:ascii="宋体" w:hAnsi="宋体" w:cs="宋体"/>
                <w:sz w:val="21"/>
                <w:szCs w:val="21"/>
                <w:highlight w:val="none"/>
              </w:rPr>
              <w:t>.6供应商在投标文件中应提供安装调试计划、对安装场地和环境的要求。</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4</w:t>
            </w:r>
            <w:r>
              <w:rPr>
                <w:rFonts w:hint="eastAsia" w:ascii="宋体" w:hAnsi="宋体" w:cs="宋体"/>
                <w:sz w:val="21"/>
                <w:szCs w:val="21"/>
                <w:highlight w:val="none"/>
              </w:rPr>
              <w:t>.供应商应提供质保期满后主要零部件报价单、质保期满后维护费、软件升级及其相关服务内容；</w:t>
            </w:r>
          </w:p>
          <w:p>
            <w:pPr>
              <w:adjustRightInd w:val="0"/>
              <w:snapToGrid w:val="0"/>
              <w:spacing w:line="288" w:lineRule="auto"/>
              <w:rPr>
                <w:rFonts w:ascii="宋体" w:hAnsi="宋体" w:cs="宋体"/>
                <w:sz w:val="21"/>
                <w:szCs w:val="21"/>
                <w:highlight w:val="none"/>
              </w:rPr>
            </w:pPr>
            <w:r>
              <w:rPr>
                <w:rFonts w:ascii="宋体" w:hAnsi="宋体" w:cs="宋体"/>
                <w:sz w:val="21"/>
                <w:szCs w:val="21"/>
                <w:highlight w:val="none"/>
              </w:rPr>
              <w:t>5</w:t>
            </w:r>
            <w:r>
              <w:rPr>
                <w:rFonts w:hint="eastAsia" w:ascii="宋体" w:hAnsi="宋体" w:cs="宋体"/>
                <w:sz w:val="21"/>
                <w:szCs w:val="21"/>
                <w:highlight w:val="none"/>
              </w:rPr>
              <w:t>.供货时提供有关的全套技术文件。</w:t>
            </w:r>
          </w:p>
          <w:p>
            <w:pPr>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6</w:t>
            </w:r>
            <w:r>
              <w:rPr>
                <w:rFonts w:ascii="宋体" w:hAnsi="宋体" w:cs="宋体"/>
                <w:sz w:val="21"/>
                <w:szCs w:val="21"/>
                <w:highlight w:val="none"/>
              </w:rPr>
              <w:t>.</w:t>
            </w:r>
            <w:r>
              <w:rPr>
                <w:rFonts w:hint="eastAsia" w:ascii="宋体" w:hAnsi="宋体"/>
                <w:spacing w:val="-6"/>
                <w:sz w:val="21"/>
                <w:szCs w:val="21"/>
                <w:highlight w:val="none"/>
              </w:rPr>
              <w:t>供应商应保证所提供的货物或其中任何一部分均不会侵犯第三方的知识产权。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培训</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供应商应对采购人的操作人员、维修人员免费进行培训；</w:t>
            </w:r>
          </w:p>
          <w:p>
            <w:pPr>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供应商应提供相应的培训计划；</w:t>
            </w:r>
          </w:p>
          <w:p>
            <w:pPr>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上述内容的实现方式、时间、地点、人数应在投标文件中详细说明。</w:t>
            </w:r>
          </w:p>
        </w:tc>
      </w:tr>
    </w:tbl>
    <w:p>
      <w:pPr>
        <w:adjustRightInd w:val="0"/>
        <w:snapToGrid w:val="0"/>
        <w:spacing w:line="288" w:lineRule="auto"/>
        <w:ind w:left="238" w:hanging="238" w:hangingChars="113"/>
        <w:rPr>
          <w:rFonts w:ascii="宋体" w:hAnsi="宋体"/>
          <w:b/>
          <w:sz w:val="21"/>
          <w:szCs w:val="21"/>
        </w:rPr>
      </w:pPr>
    </w:p>
    <w:p>
      <w:pPr>
        <w:adjustRightInd w:val="0"/>
        <w:snapToGrid w:val="0"/>
        <w:spacing w:line="288" w:lineRule="auto"/>
        <w:ind w:left="238" w:hanging="238" w:hangingChars="113"/>
        <w:outlineLvl w:val="1"/>
        <w:rPr>
          <w:rFonts w:ascii="宋体" w:hAnsi="宋体"/>
          <w:b/>
          <w:sz w:val="21"/>
          <w:szCs w:val="21"/>
        </w:rPr>
      </w:pPr>
      <w:r>
        <w:rPr>
          <w:rFonts w:hint="eastAsia" w:ascii="宋体" w:hAnsi="宋体"/>
          <w:b/>
          <w:sz w:val="21"/>
          <w:szCs w:val="21"/>
        </w:rPr>
        <w:t>四</w:t>
      </w:r>
      <w:r>
        <w:rPr>
          <w:rFonts w:ascii="宋体" w:hAnsi="宋体"/>
          <w:b/>
          <w:sz w:val="21"/>
          <w:szCs w:val="21"/>
        </w:rPr>
        <w:t>、技术要求</w:t>
      </w:r>
    </w:p>
    <w:p>
      <w:pPr>
        <w:adjustRightInd w:val="0"/>
        <w:snapToGrid w:val="0"/>
        <w:spacing w:line="288" w:lineRule="auto"/>
        <w:rPr>
          <w:rFonts w:ascii="宋体" w:hAnsi="宋体" w:cs="宋体"/>
          <w:b/>
          <w:bCs/>
          <w:sz w:val="21"/>
          <w:szCs w:val="21"/>
          <w:highlight w:val="yellow"/>
        </w:rPr>
      </w:pPr>
      <w:r>
        <w:rPr>
          <w:rFonts w:hint="eastAsia" w:ascii="宋体" w:hAnsi="宋体" w:cs="宋体"/>
          <w:b/>
          <w:bCs/>
          <w:sz w:val="21"/>
          <w:szCs w:val="21"/>
        </w:rPr>
        <w:t>1</w:t>
      </w:r>
      <w:r>
        <w:rPr>
          <w:rFonts w:ascii="宋体" w:hAnsi="宋体" w:cs="宋体"/>
          <w:b/>
          <w:bCs/>
          <w:sz w:val="21"/>
          <w:szCs w:val="21"/>
        </w:rPr>
        <w:t>.</w:t>
      </w:r>
      <w:r>
        <w:rPr>
          <w:rFonts w:hint="eastAsia" w:ascii="宋体" w:hAnsi="宋体" w:cs="宋体"/>
          <w:b/>
          <w:bCs/>
          <w:sz w:val="21"/>
          <w:szCs w:val="21"/>
        </w:rPr>
        <w:t>需执行的国家相关标准、行业标准、地方标准或者其他标准、规范：</w:t>
      </w:r>
      <w:bookmarkStart w:id="2" w:name="_Hlk94018176"/>
      <w:r>
        <w:rPr>
          <w:rFonts w:hint="eastAsia" w:ascii="宋体" w:hAnsi="宋体" w:cs="宋体"/>
          <w:sz w:val="21"/>
          <w:szCs w:val="21"/>
          <w:highlight w:val="none"/>
        </w:rPr>
        <w:t>如技术要求中未注明需执行的国家相关标准、行业标准、地方标准或者其他标准、规范的，执行最新标准、规范。</w:t>
      </w:r>
      <w:bookmarkEnd w:id="2"/>
    </w:p>
    <w:p>
      <w:pPr>
        <w:adjustRightInd w:val="0"/>
        <w:snapToGrid w:val="0"/>
        <w:spacing w:line="288" w:lineRule="auto"/>
        <w:rPr>
          <w:rFonts w:hint="eastAsia" w:ascii="宋体" w:hAnsi="宋体" w:eastAsia="宋体" w:cs="宋体"/>
          <w:b/>
          <w:bCs/>
          <w:sz w:val="21"/>
          <w:szCs w:val="21"/>
          <w:highlight w:val="none"/>
          <w:lang w:eastAsia="zh-CN"/>
        </w:rPr>
      </w:pPr>
      <w:r>
        <w:rPr>
          <w:rFonts w:ascii="宋体" w:hAnsi="宋体" w:cs="宋体"/>
          <w:b/>
          <w:bCs/>
          <w:sz w:val="21"/>
          <w:szCs w:val="21"/>
          <w:highlight w:val="none"/>
        </w:rPr>
        <w:t>2</w:t>
      </w:r>
      <w:r>
        <w:rPr>
          <w:rFonts w:hint="eastAsia" w:ascii="宋体" w:hAnsi="宋体" w:cs="宋体"/>
          <w:b/>
          <w:bCs/>
          <w:sz w:val="21"/>
          <w:szCs w:val="21"/>
          <w:highlight w:val="none"/>
        </w:rPr>
        <w:t>.需实现的功能或者目标：</w:t>
      </w:r>
      <w:r>
        <w:rPr>
          <w:rFonts w:hint="eastAsia"/>
          <w:sz w:val="21"/>
          <w:szCs w:val="21"/>
          <w:lang w:eastAsia="zh-CN"/>
        </w:rPr>
        <w:t>满足技术指标要求。</w:t>
      </w:r>
    </w:p>
    <w:p>
      <w:pPr>
        <w:adjustRightInd w:val="0"/>
        <w:snapToGrid w:val="0"/>
        <w:spacing w:line="288" w:lineRule="auto"/>
        <w:rPr>
          <w:rFonts w:ascii="宋体" w:hAnsi="宋体"/>
          <w:b/>
          <w:bCs/>
          <w:spacing w:val="-4"/>
          <w:sz w:val="21"/>
          <w:szCs w:val="21"/>
        </w:rPr>
      </w:pPr>
      <w:r>
        <w:rPr>
          <w:rFonts w:ascii="宋体" w:hAnsi="宋体"/>
          <w:b/>
          <w:bCs/>
          <w:spacing w:val="-4"/>
          <w:sz w:val="21"/>
          <w:szCs w:val="21"/>
          <w:highlight w:val="none"/>
        </w:rPr>
        <w:t>3.</w:t>
      </w:r>
      <w:r>
        <w:rPr>
          <w:rFonts w:hint="eastAsia" w:ascii="宋体" w:hAnsi="宋体"/>
          <w:b/>
          <w:bCs/>
          <w:spacing w:val="-4"/>
          <w:sz w:val="21"/>
          <w:szCs w:val="21"/>
          <w:highlight w:val="none"/>
        </w:rPr>
        <w:t>需满足的质量、安全、技术规格、物理特性等要求：</w:t>
      </w:r>
    </w:p>
    <w:tbl>
      <w:tblPr>
        <w:tblStyle w:val="7"/>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810"/>
        <w:gridCol w:w="661"/>
        <w:gridCol w:w="661"/>
        <w:gridCol w:w="6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9"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序号</w:t>
            </w:r>
          </w:p>
        </w:tc>
        <w:tc>
          <w:tcPr>
            <w:tcW w:w="1810"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名称</w:t>
            </w:r>
          </w:p>
        </w:tc>
        <w:tc>
          <w:tcPr>
            <w:tcW w:w="661"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数量</w:t>
            </w:r>
          </w:p>
        </w:tc>
        <w:tc>
          <w:tcPr>
            <w:tcW w:w="661"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单位</w:t>
            </w:r>
          </w:p>
        </w:tc>
        <w:tc>
          <w:tcPr>
            <w:tcW w:w="6269"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highlight w:val="none"/>
              </w:rPr>
              <w:t>（功能或者目标）、质量、安全、技术规格、物理特性等要求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9"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1</w:t>
            </w:r>
          </w:p>
        </w:tc>
        <w:tc>
          <w:tcPr>
            <w:tcW w:w="1810" w:type="dxa"/>
            <w:vAlign w:val="center"/>
          </w:tcPr>
          <w:p>
            <w:pPr>
              <w:adjustRightInd w:val="0"/>
              <w:snapToGrid w:val="0"/>
              <w:spacing w:line="288" w:lineRule="auto"/>
              <w:jc w:val="center"/>
              <w:rPr>
                <w:rFonts w:ascii="宋体" w:hAnsi="宋体"/>
                <w:sz w:val="21"/>
                <w:szCs w:val="21"/>
              </w:rPr>
            </w:pPr>
            <w:r>
              <w:rPr>
                <w:rFonts w:hint="eastAsia" w:ascii="宋体" w:hAnsi="宋体"/>
                <w:sz w:val="21"/>
                <w:szCs w:val="21"/>
                <w:lang w:eastAsia="zh-CN"/>
              </w:rPr>
              <w:t>主控计算机</w:t>
            </w:r>
          </w:p>
        </w:tc>
        <w:tc>
          <w:tcPr>
            <w:tcW w:w="661" w:type="dxa"/>
            <w:vAlign w:val="center"/>
          </w:tcPr>
          <w:p>
            <w:pPr>
              <w:adjustRightInd w:val="0"/>
              <w:snapToGrid w:val="0"/>
              <w:spacing w:line="288" w:lineRule="auto"/>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35</w:t>
            </w:r>
          </w:p>
        </w:tc>
        <w:tc>
          <w:tcPr>
            <w:tcW w:w="661" w:type="dxa"/>
            <w:vAlign w:val="center"/>
          </w:tcPr>
          <w:p>
            <w:pPr>
              <w:adjustRightInd w:val="0"/>
              <w:snapToGrid w:val="0"/>
              <w:spacing w:line="288" w:lineRule="auto"/>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台</w:t>
            </w:r>
          </w:p>
        </w:tc>
        <w:tc>
          <w:tcPr>
            <w:tcW w:w="6269" w:type="dxa"/>
            <w:vAlign w:val="center"/>
          </w:tcPr>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3" w:name="_Toc474499725"/>
            <w:bookmarkStart w:id="4" w:name="_Toc479334503"/>
            <w:r>
              <w:rPr>
                <w:rFonts w:hint="eastAsia" w:ascii="宋体" w:hAnsi="宋体" w:cs="宋体"/>
                <w:sz w:val="21"/>
                <w:szCs w:val="21"/>
                <w:lang w:val="en-US" w:eastAsia="zh-CN"/>
              </w:rPr>
              <w:t>一、</w:t>
            </w:r>
            <w:bookmarkEnd w:id="3"/>
            <w:bookmarkEnd w:id="4"/>
            <w:bookmarkStart w:id="5" w:name="_Toc479334505"/>
            <w:bookmarkStart w:id="6" w:name="_Toc474499727"/>
            <w:r>
              <w:rPr>
                <w:rFonts w:hint="eastAsia" w:ascii="宋体" w:hAnsi="宋体" w:eastAsia="宋体" w:cs="宋体"/>
                <w:sz w:val="21"/>
                <w:szCs w:val="21"/>
              </w:rPr>
              <w:t>技术要求</w:t>
            </w:r>
            <w:bookmarkEnd w:id="5"/>
            <w:bookmarkEnd w:id="6"/>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7" w:name="_Toc479334506"/>
            <w:bookmarkStart w:id="8" w:name="_Toc474499728"/>
            <w:r>
              <w:rPr>
                <w:rFonts w:hint="eastAsia" w:ascii="宋体" w:hAnsi="宋体" w:cs="宋体"/>
                <w:sz w:val="21"/>
                <w:szCs w:val="21"/>
                <w:lang w:val="en-US" w:eastAsia="zh-CN"/>
              </w:rPr>
              <w:t>1、</w:t>
            </w:r>
            <w:r>
              <w:rPr>
                <w:rFonts w:hint="eastAsia" w:ascii="宋体" w:hAnsi="宋体" w:eastAsia="宋体" w:cs="宋体"/>
                <w:sz w:val="21"/>
                <w:szCs w:val="21"/>
              </w:rPr>
              <w:t>机械尺寸要求</w:t>
            </w:r>
            <w:bookmarkEnd w:id="7"/>
            <w:bookmarkEnd w:id="8"/>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1.1</w:t>
            </w:r>
            <w:r>
              <w:rPr>
                <w:rFonts w:hint="eastAsia" w:ascii="宋体" w:hAnsi="宋体" w:eastAsia="宋体" w:cs="宋体"/>
                <w:sz w:val="21"/>
                <w:szCs w:val="21"/>
              </w:rPr>
              <w:t>一体机体积≤（215（L）×105（W）×150（H））mm</w:t>
            </w:r>
            <w:r>
              <w:rPr>
                <w:rFonts w:hint="eastAsia" w:ascii="宋体" w:hAnsi="宋体" w:eastAsia="宋体" w:cs="宋体"/>
                <w:sz w:val="21"/>
                <w:szCs w:val="21"/>
                <w:vertAlign w:val="superscript"/>
              </w:rPr>
              <w:t>3</w:t>
            </w:r>
            <w:r>
              <w:rPr>
                <w:rFonts w:hint="eastAsia" w:ascii="宋体" w:hAnsi="宋体" w:eastAsia="宋体" w:cs="宋体"/>
                <w:sz w:val="21"/>
                <w:szCs w:val="21"/>
              </w:rPr>
              <w:t>；含安装耳及接插件</w:t>
            </w:r>
            <w:r>
              <w:rPr>
                <w:rFonts w:hint="eastAsia" w:ascii="宋体" w:hAnsi="宋体" w:cs="宋体"/>
                <w:sz w:val="21"/>
                <w:szCs w:val="21"/>
                <w:lang w:eastAsia="zh-CN"/>
              </w:rPr>
              <w:t>；</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1.2</w:t>
            </w:r>
            <w:r>
              <w:rPr>
                <w:rFonts w:hint="eastAsia" w:ascii="宋体" w:hAnsi="宋体" w:eastAsia="宋体" w:cs="宋体"/>
                <w:sz w:val="21"/>
                <w:szCs w:val="21"/>
              </w:rPr>
              <w:t>一体机重量≤3kg。</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9" w:name="_Toc474499729"/>
            <w:bookmarkStart w:id="10" w:name="_Toc479334507"/>
            <w:r>
              <w:rPr>
                <w:rFonts w:hint="eastAsia" w:ascii="宋体" w:hAnsi="宋体" w:cs="宋体"/>
                <w:sz w:val="21"/>
                <w:szCs w:val="21"/>
                <w:lang w:val="en-US" w:eastAsia="zh-CN"/>
              </w:rPr>
              <w:t>2、</w:t>
            </w:r>
            <w:r>
              <w:rPr>
                <w:rFonts w:hint="eastAsia" w:ascii="宋体" w:hAnsi="宋体" w:eastAsia="宋体" w:cs="宋体"/>
                <w:sz w:val="21"/>
                <w:szCs w:val="21"/>
              </w:rPr>
              <w:t>电源指标要求</w:t>
            </w:r>
            <w:bookmarkEnd w:id="9"/>
            <w:bookmarkEnd w:id="10"/>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2.1</w:t>
            </w:r>
            <w:r>
              <w:rPr>
                <w:rFonts w:hint="eastAsia" w:ascii="宋体" w:hAnsi="宋体" w:eastAsia="宋体" w:cs="宋体"/>
                <w:sz w:val="21"/>
                <w:szCs w:val="21"/>
              </w:rPr>
              <w:t>主电源+28V采用锂电池供电，内部电源与电池进行隔离设计；</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2.2</w:t>
            </w:r>
            <w:r>
              <w:rPr>
                <w:rFonts w:hint="eastAsia" w:ascii="宋体" w:hAnsi="宋体" w:eastAsia="宋体" w:cs="宋体"/>
                <w:sz w:val="21"/>
                <w:szCs w:val="21"/>
              </w:rPr>
              <w:t>电源输入范围：24VDC～36VDC</w:t>
            </w:r>
            <w:r>
              <w:rPr>
                <w:rFonts w:hint="eastAsia" w:ascii="宋体" w:hAnsi="宋体" w:cs="宋体"/>
                <w:sz w:val="21"/>
                <w:szCs w:val="21"/>
                <w:lang w:eastAsia="zh-CN"/>
              </w:rPr>
              <w:t>；</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2.3</w:t>
            </w:r>
            <w:r>
              <w:rPr>
                <w:rFonts w:hint="eastAsia" w:ascii="宋体" w:hAnsi="宋体" w:eastAsia="宋体" w:cs="宋体"/>
                <w:sz w:val="21"/>
                <w:szCs w:val="21"/>
              </w:rPr>
              <w:t>电源电流能力：一体机额定电流≤2A，瞬态电流≤8A@200mS</w:t>
            </w:r>
            <w:r>
              <w:rPr>
                <w:rFonts w:hint="eastAsia" w:ascii="宋体" w:hAnsi="宋体" w:cs="宋体"/>
                <w:sz w:val="21"/>
                <w:szCs w:val="21"/>
                <w:lang w:eastAsia="zh-CN"/>
              </w:rPr>
              <w:t>；</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2.4</w:t>
            </w:r>
            <w:r>
              <w:rPr>
                <w:rFonts w:hint="eastAsia" w:ascii="宋体" w:hAnsi="宋体" w:eastAsia="宋体" w:cs="宋体"/>
                <w:sz w:val="21"/>
                <w:szCs w:val="21"/>
              </w:rPr>
              <w:t>提供1路5V电源输出，最大电流3A，与一体机内部用电隔离。</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11" w:name="_Toc474499730"/>
            <w:bookmarkStart w:id="12" w:name="_Toc479334508"/>
            <w:r>
              <w:rPr>
                <w:rFonts w:hint="eastAsia" w:ascii="宋体" w:hAnsi="宋体" w:cs="宋体"/>
                <w:sz w:val="21"/>
                <w:szCs w:val="21"/>
                <w:lang w:val="en-US" w:eastAsia="zh-CN"/>
              </w:rPr>
              <w:t>3、</w:t>
            </w:r>
            <w:r>
              <w:rPr>
                <w:rFonts w:hint="eastAsia" w:ascii="宋体" w:hAnsi="宋体" w:eastAsia="宋体" w:cs="宋体"/>
                <w:sz w:val="21"/>
                <w:szCs w:val="21"/>
              </w:rPr>
              <w:t>控制指标要求</w:t>
            </w:r>
            <w:bookmarkEnd w:id="11"/>
            <w:bookmarkEnd w:id="12"/>
          </w:p>
          <w:p>
            <w:pPr>
              <w:pStyle w:val="5"/>
              <w:keepNext w:val="0"/>
              <w:keepLines w:val="0"/>
              <w:pageBreakBefore w:val="0"/>
              <w:widowControl w:val="0"/>
              <w:tabs>
                <w:tab w:val="left" w:pos="720"/>
              </w:tabs>
              <w:kinsoku/>
              <w:wordWrap/>
              <w:overflowPunct/>
              <w:topLinePunct w:val="0"/>
              <w:autoSpaceDE/>
              <w:autoSpaceDN/>
              <w:bidi w:val="0"/>
              <w:adjustRightInd w:val="0"/>
              <w:snapToGrid w:val="0"/>
              <w:spacing w:before="0" w:beforeAutospacing="0" w:after="0" w:afterAutospacing="0" w:line="288" w:lineRule="auto"/>
              <w:ind w:left="0" w:firstLine="0" w:firstLineChars="0"/>
              <w:jc w:val="left"/>
              <w:textAlignment w:val="auto"/>
              <w:rPr>
                <w:rFonts w:hint="eastAsia" w:ascii="宋体" w:hAnsi="宋体" w:eastAsia="宋体" w:cs="宋体"/>
                <w:sz w:val="21"/>
                <w:szCs w:val="21"/>
              </w:rPr>
            </w:pPr>
            <w:bookmarkStart w:id="13" w:name="_Toc474499731"/>
            <w:r>
              <w:rPr>
                <w:rFonts w:hint="eastAsia" w:ascii="宋体" w:hAnsi="宋体" w:cs="宋体"/>
                <w:sz w:val="21"/>
                <w:szCs w:val="21"/>
                <w:lang w:val="en-US" w:eastAsia="zh-CN"/>
              </w:rPr>
              <w:t>3.1</w:t>
            </w:r>
            <w:r>
              <w:rPr>
                <w:rFonts w:hint="eastAsia" w:ascii="宋体" w:hAnsi="宋体" w:eastAsia="宋体" w:cs="宋体"/>
                <w:sz w:val="21"/>
                <w:szCs w:val="21"/>
              </w:rPr>
              <w:t>计算性能</w:t>
            </w:r>
            <w:bookmarkEnd w:id="13"/>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采用双处理器架构；工作主频为200MHz；双处理器之间高速交互口速率不小于0.8Gbps。</w:t>
            </w:r>
          </w:p>
          <w:p>
            <w:pPr>
              <w:pStyle w:val="5"/>
              <w:keepNext w:val="0"/>
              <w:keepLines w:val="0"/>
              <w:pageBreakBefore w:val="0"/>
              <w:widowControl w:val="0"/>
              <w:tabs>
                <w:tab w:val="left" w:pos="720"/>
              </w:tabs>
              <w:kinsoku/>
              <w:wordWrap/>
              <w:overflowPunct/>
              <w:topLinePunct w:val="0"/>
              <w:autoSpaceDE/>
              <w:autoSpaceDN/>
              <w:bidi w:val="0"/>
              <w:adjustRightInd w:val="0"/>
              <w:snapToGrid w:val="0"/>
              <w:spacing w:before="0" w:beforeAutospacing="0" w:after="0" w:afterAutospacing="0" w:line="288" w:lineRule="auto"/>
              <w:ind w:left="0" w:firstLine="0" w:firstLineChars="0"/>
              <w:jc w:val="left"/>
              <w:textAlignment w:val="auto"/>
              <w:rPr>
                <w:rFonts w:hint="eastAsia" w:ascii="宋体" w:hAnsi="宋体" w:eastAsia="宋体" w:cs="宋体"/>
                <w:sz w:val="21"/>
                <w:szCs w:val="21"/>
              </w:rPr>
            </w:pPr>
            <w:bookmarkStart w:id="14" w:name="_Toc474499732"/>
            <w:r>
              <w:rPr>
                <w:rFonts w:hint="eastAsia" w:ascii="宋体" w:hAnsi="宋体" w:cs="宋体"/>
                <w:sz w:val="21"/>
                <w:szCs w:val="21"/>
                <w:lang w:val="en-US" w:eastAsia="zh-CN"/>
              </w:rPr>
              <w:t>3.2</w:t>
            </w:r>
            <w:r>
              <w:rPr>
                <w:rFonts w:hint="eastAsia" w:ascii="宋体" w:hAnsi="宋体" w:eastAsia="宋体" w:cs="宋体"/>
                <w:sz w:val="21"/>
                <w:szCs w:val="21"/>
              </w:rPr>
              <w:t>存储器</w:t>
            </w:r>
            <w:bookmarkEnd w:id="14"/>
          </w:p>
          <w:p>
            <w:pPr>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3.2.1</w:t>
            </w:r>
            <w:r>
              <w:rPr>
                <w:rFonts w:hint="eastAsia" w:ascii="宋体" w:hAnsi="宋体" w:eastAsia="宋体" w:cs="宋体"/>
                <w:sz w:val="21"/>
                <w:szCs w:val="21"/>
              </w:rPr>
              <w:t>每个处理器SDRAM：≥32MB；</w:t>
            </w:r>
          </w:p>
          <w:p>
            <w:pPr>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3.2.2</w:t>
            </w:r>
            <w:r>
              <w:rPr>
                <w:rFonts w:hint="eastAsia" w:ascii="宋体" w:hAnsi="宋体" w:eastAsia="宋体" w:cs="宋体"/>
                <w:sz w:val="21"/>
                <w:szCs w:val="21"/>
              </w:rPr>
              <w:t>每个处理器FLASH：≥32MB。</w:t>
            </w:r>
          </w:p>
          <w:p>
            <w:pPr>
              <w:pStyle w:val="5"/>
              <w:keepNext w:val="0"/>
              <w:keepLines w:val="0"/>
              <w:pageBreakBefore w:val="0"/>
              <w:widowControl w:val="0"/>
              <w:tabs>
                <w:tab w:val="left" w:pos="720"/>
              </w:tabs>
              <w:kinsoku/>
              <w:wordWrap/>
              <w:overflowPunct/>
              <w:topLinePunct w:val="0"/>
              <w:autoSpaceDE/>
              <w:autoSpaceDN/>
              <w:bidi w:val="0"/>
              <w:adjustRightInd w:val="0"/>
              <w:snapToGrid w:val="0"/>
              <w:spacing w:before="0" w:beforeAutospacing="0" w:after="0" w:afterAutospacing="0" w:line="288" w:lineRule="auto"/>
              <w:ind w:left="0" w:firstLine="0" w:firstLineChars="0"/>
              <w:jc w:val="left"/>
              <w:textAlignment w:val="auto"/>
              <w:rPr>
                <w:rFonts w:hint="eastAsia" w:ascii="宋体" w:hAnsi="宋体" w:eastAsia="宋体" w:cs="宋体"/>
                <w:sz w:val="21"/>
                <w:szCs w:val="21"/>
              </w:rPr>
            </w:pPr>
            <w:bookmarkStart w:id="15" w:name="_Toc474499733"/>
            <w:r>
              <w:rPr>
                <w:rFonts w:hint="eastAsia" w:ascii="宋体" w:hAnsi="宋体" w:cs="宋体"/>
                <w:sz w:val="21"/>
                <w:szCs w:val="21"/>
                <w:lang w:val="en-US" w:eastAsia="zh-CN"/>
              </w:rPr>
              <w:t>3.3</w:t>
            </w:r>
            <w:r>
              <w:rPr>
                <w:rFonts w:hint="eastAsia" w:ascii="宋体" w:hAnsi="宋体" w:eastAsia="宋体" w:cs="宋体"/>
                <w:sz w:val="21"/>
                <w:szCs w:val="21"/>
              </w:rPr>
              <w:t>中断</w:t>
            </w:r>
            <w:bookmarkEnd w:id="15"/>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3.3.1</w:t>
            </w:r>
            <w:r>
              <w:rPr>
                <w:rFonts w:hint="eastAsia" w:ascii="宋体" w:hAnsi="宋体" w:eastAsia="宋体" w:cs="宋体"/>
                <w:sz w:val="21"/>
                <w:szCs w:val="21"/>
              </w:rPr>
              <w:t>主处理器：1个CAN总线通讯中断；1个串口复合中断。</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3.3.2</w:t>
            </w:r>
            <w:r>
              <w:rPr>
                <w:rFonts w:hint="eastAsia" w:ascii="宋体" w:hAnsi="宋体" w:eastAsia="宋体" w:cs="宋体"/>
                <w:sz w:val="21"/>
                <w:szCs w:val="21"/>
              </w:rPr>
              <w:t>从处理器：1个的GPS秒脉冲中断（上升沿触发），1个的外部仿真秒脉冲中断（上升沿触发）；1个GPS串口中断。</w:t>
            </w:r>
          </w:p>
          <w:p>
            <w:pPr>
              <w:pStyle w:val="5"/>
              <w:keepNext w:val="0"/>
              <w:keepLines w:val="0"/>
              <w:pageBreakBefore w:val="0"/>
              <w:widowControl w:val="0"/>
              <w:tabs>
                <w:tab w:val="left" w:pos="720"/>
              </w:tabs>
              <w:kinsoku/>
              <w:wordWrap/>
              <w:overflowPunct/>
              <w:topLinePunct w:val="0"/>
              <w:autoSpaceDE/>
              <w:autoSpaceDN/>
              <w:bidi w:val="0"/>
              <w:adjustRightInd w:val="0"/>
              <w:snapToGrid w:val="0"/>
              <w:spacing w:before="0" w:beforeAutospacing="0" w:after="0" w:afterAutospacing="0" w:line="288" w:lineRule="auto"/>
              <w:ind w:left="0" w:firstLine="0" w:firstLineChars="0"/>
              <w:jc w:val="left"/>
              <w:textAlignment w:val="auto"/>
              <w:rPr>
                <w:rFonts w:hint="eastAsia" w:ascii="宋体" w:hAnsi="宋体" w:eastAsia="宋体" w:cs="宋体"/>
                <w:sz w:val="21"/>
                <w:szCs w:val="21"/>
              </w:rPr>
            </w:pPr>
            <w:bookmarkStart w:id="16" w:name="_Toc474499734"/>
            <w:r>
              <w:rPr>
                <w:rFonts w:hint="eastAsia" w:ascii="宋体" w:hAnsi="宋体" w:cs="宋体"/>
                <w:sz w:val="21"/>
                <w:szCs w:val="21"/>
                <w:lang w:val="en-US" w:eastAsia="zh-CN"/>
              </w:rPr>
              <w:t>3.4</w:t>
            </w:r>
            <w:r>
              <w:rPr>
                <w:rFonts w:hint="eastAsia" w:ascii="宋体" w:hAnsi="宋体" w:eastAsia="宋体" w:cs="宋体"/>
                <w:sz w:val="21"/>
                <w:szCs w:val="21"/>
              </w:rPr>
              <w:t>定时器</w:t>
            </w:r>
            <w:bookmarkEnd w:id="16"/>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3.4.1</w:t>
            </w:r>
            <w:r>
              <w:rPr>
                <w:rFonts w:hint="eastAsia" w:ascii="宋体" w:hAnsi="宋体" w:eastAsia="宋体" w:cs="宋体"/>
                <w:sz w:val="21"/>
                <w:szCs w:val="21"/>
              </w:rPr>
              <w:t>每个处理器具有内部定时器两路</w:t>
            </w:r>
            <w:r>
              <w:rPr>
                <w:rFonts w:hint="eastAsia" w:ascii="宋体" w:hAnsi="宋体" w:cs="宋体"/>
                <w:sz w:val="21"/>
                <w:szCs w:val="21"/>
                <w:lang w:eastAsia="zh-CN"/>
              </w:rPr>
              <w:t>；</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3.4.2</w:t>
            </w:r>
            <w:r>
              <w:rPr>
                <w:rFonts w:hint="eastAsia" w:ascii="宋体" w:hAnsi="宋体" w:eastAsia="宋体" w:cs="宋体"/>
                <w:sz w:val="21"/>
                <w:szCs w:val="21"/>
              </w:rPr>
              <w:t>范围0.1ms～5ms</w:t>
            </w:r>
            <w:r>
              <w:rPr>
                <w:rFonts w:hint="eastAsia" w:ascii="宋体" w:hAnsi="宋体" w:cs="宋体"/>
                <w:sz w:val="21"/>
                <w:szCs w:val="21"/>
                <w:lang w:eastAsia="zh-CN"/>
              </w:rPr>
              <w:t>；</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3.4.3</w:t>
            </w:r>
            <w:r>
              <w:rPr>
                <w:rFonts w:hint="eastAsia" w:ascii="宋体" w:hAnsi="宋体" w:eastAsia="宋体" w:cs="宋体"/>
                <w:sz w:val="21"/>
                <w:szCs w:val="21"/>
              </w:rPr>
              <w:t>定时精度</w:t>
            </w:r>
            <w:r>
              <w:rPr>
                <w:rFonts w:hint="eastAsia" w:ascii="宋体" w:hAnsi="宋体" w:cs="宋体"/>
                <w:sz w:val="21"/>
                <w:szCs w:val="21"/>
                <w:lang w:val="en-US" w:eastAsia="zh-CN"/>
              </w:rPr>
              <w:t>5×10</w:t>
            </w:r>
            <w:r>
              <w:rPr>
                <w:rFonts w:hint="eastAsia" w:ascii="宋体" w:hAnsi="宋体" w:cs="宋体"/>
                <w:sz w:val="21"/>
                <w:szCs w:val="21"/>
                <w:vertAlign w:val="superscript"/>
                <w:lang w:val="en-US" w:eastAsia="zh-CN"/>
              </w:rPr>
              <w:t>-5</w:t>
            </w:r>
            <w:r>
              <w:rPr>
                <w:rFonts w:hint="eastAsia" w:ascii="宋体" w:hAnsi="宋体" w:cs="宋体"/>
                <w:sz w:val="21"/>
                <w:szCs w:val="21"/>
                <w:lang w:val="en-US" w:eastAsia="zh-CN"/>
              </w:rPr>
              <w:t>。</w:t>
            </w:r>
          </w:p>
          <w:p>
            <w:pPr>
              <w:pStyle w:val="5"/>
              <w:keepNext w:val="0"/>
              <w:keepLines w:val="0"/>
              <w:pageBreakBefore w:val="0"/>
              <w:widowControl w:val="0"/>
              <w:tabs>
                <w:tab w:val="left" w:pos="720"/>
              </w:tabs>
              <w:kinsoku/>
              <w:wordWrap/>
              <w:overflowPunct/>
              <w:topLinePunct w:val="0"/>
              <w:autoSpaceDE/>
              <w:autoSpaceDN/>
              <w:bidi w:val="0"/>
              <w:adjustRightInd w:val="0"/>
              <w:snapToGrid w:val="0"/>
              <w:spacing w:before="0" w:beforeAutospacing="0" w:after="0" w:afterAutospacing="0" w:line="288" w:lineRule="auto"/>
              <w:ind w:left="0" w:firstLine="0" w:firstLineChars="0"/>
              <w:jc w:val="left"/>
              <w:textAlignment w:val="auto"/>
              <w:rPr>
                <w:rFonts w:hint="eastAsia" w:ascii="宋体" w:hAnsi="宋体" w:eastAsia="宋体" w:cs="宋体"/>
                <w:sz w:val="21"/>
                <w:szCs w:val="21"/>
              </w:rPr>
            </w:pPr>
            <w:bookmarkStart w:id="17" w:name="_Toc474499735"/>
            <w:r>
              <w:rPr>
                <w:rFonts w:hint="eastAsia" w:ascii="宋体" w:hAnsi="宋体" w:cs="宋体"/>
                <w:sz w:val="21"/>
                <w:szCs w:val="21"/>
                <w:lang w:val="en-US" w:eastAsia="zh-CN"/>
              </w:rPr>
              <w:t>3.5</w:t>
            </w:r>
            <w:r>
              <w:rPr>
                <w:rFonts w:hint="eastAsia" w:ascii="宋体" w:hAnsi="宋体" w:eastAsia="宋体" w:cs="宋体"/>
                <w:sz w:val="21"/>
                <w:szCs w:val="21"/>
              </w:rPr>
              <w:t>通讯接口</w:t>
            </w:r>
            <w:bookmarkEnd w:id="17"/>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3.5.1</w:t>
            </w:r>
            <w:r>
              <w:rPr>
                <w:rFonts w:hint="eastAsia" w:ascii="宋体" w:hAnsi="宋体" w:eastAsia="宋体" w:cs="宋体"/>
                <w:sz w:val="21"/>
                <w:szCs w:val="21"/>
              </w:rPr>
              <w:t>通讯采用查询模式和中断进行访问，全部由主处理器控制</w:t>
            </w:r>
            <w:r>
              <w:rPr>
                <w:rFonts w:hint="eastAsia" w:ascii="宋体" w:hAnsi="宋体" w:cs="宋体"/>
                <w:sz w:val="21"/>
                <w:szCs w:val="21"/>
                <w:lang w:eastAsia="zh-CN"/>
              </w:rPr>
              <w:t>；</w:t>
            </w:r>
          </w:p>
          <w:p>
            <w:pPr>
              <w:pStyle w:val="10"/>
              <w:keepNext w:val="0"/>
              <w:keepLines w:val="0"/>
              <w:pageBreakBefore w:val="0"/>
              <w:widowControl w:val="0"/>
              <w:numPr>
                <w:ilvl w:val="-1"/>
                <w:numId w:val="0"/>
              </w:numPr>
              <w:tabs>
                <w:tab w:val="left" w:pos="900"/>
              </w:tabs>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 xml:space="preserve">3.5.2 </w:t>
            </w:r>
            <w:r>
              <w:rPr>
                <w:rFonts w:hint="eastAsia" w:ascii="宋体" w:hAnsi="宋体" w:eastAsia="宋体" w:cs="宋体"/>
                <w:sz w:val="21"/>
                <w:szCs w:val="21"/>
              </w:rPr>
              <w:t>14路隔离RS422，默认波特率115200bps、可设波特率9600bps~921600bps，FIFO深度2k，支持中断和查询模式，对外通讯</w:t>
            </w:r>
            <w:r>
              <w:rPr>
                <w:rFonts w:hint="eastAsia" w:ascii="宋体" w:hAnsi="宋体" w:cs="宋体"/>
                <w:sz w:val="21"/>
                <w:szCs w:val="21"/>
                <w:lang w:eastAsia="zh-CN"/>
              </w:rPr>
              <w:t>；</w:t>
            </w:r>
          </w:p>
          <w:p>
            <w:pPr>
              <w:pStyle w:val="10"/>
              <w:keepNext w:val="0"/>
              <w:keepLines w:val="0"/>
              <w:pageBreakBefore w:val="0"/>
              <w:widowControl w:val="0"/>
              <w:numPr>
                <w:ilvl w:val="-1"/>
                <w:numId w:val="0"/>
              </w:numPr>
              <w:tabs>
                <w:tab w:val="left" w:pos="900"/>
              </w:tabs>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 xml:space="preserve">3.5.3 </w:t>
            </w:r>
            <w:r>
              <w:rPr>
                <w:rFonts w:hint="eastAsia" w:ascii="宋体" w:hAnsi="宋体" w:eastAsia="宋体" w:cs="宋体"/>
                <w:sz w:val="21"/>
                <w:szCs w:val="21"/>
              </w:rPr>
              <w:t>1路CAN，符合CAN 2.0B标准，波特率1Mbps，隔离处理，对外通讯</w:t>
            </w:r>
            <w:r>
              <w:rPr>
                <w:rFonts w:hint="eastAsia" w:ascii="宋体" w:hAnsi="宋体" w:cs="宋体"/>
                <w:sz w:val="21"/>
                <w:szCs w:val="21"/>
                <w:lang w:eastAsia="zh-CN"/>
              </w:rPr>
              <w:t>；</w:t>
            </w:r>
          </w:p>
          <w:p>
            <w:pPr>
              <w:pStyle w:val="5"/>
              <w:keepNext w:val="0"/>
              <w:keepLines w:val="0"/>
              <w:pageBreakBefore w:val="0"/>
              <w:widowControl w:val="0"/>
              <w:tabs>
                <w:tab w:val="left" w:pos="720"/>
              </w:tabs>
              <w:kinsoku/>
              <w:wordWrap/>
              <w:overflowPunct/>
              <w:topLinePunct w:val="0"/>
              <w:autoSpaceDE/>
              <w:autoSpaceDN/>
              <w:bidi w:val="0"/>
              <w:adjustRightInd w:val="0"/>
              <w:snapToGrid w:val="0"/>
              <w:spacing w:before="0" w:beforeAutospacing="0" w:after="0" w:afterAutospacing="0" w:line="288" w:lineRule="auto"/>
              <w:ind w:left="0" w:firstLine="0" w:firstLineChars="0"/>
              <w:jc w:val="left"/>
              <w:textAlignment w:val="auto"/>
              <w:rPr>
                <w:rFonts w:hint="eastAsia" w:ascii="宋体" w:hAnsi="宋体" w:eastAsia="宋体" w:cs="宋体"/>
                <w:sz w:val="21"/>
                <w:szCs w:val="21"/>
              </w:rPr>
            </w:pPr>
            <w:bookmarkStart w:id="18" w:name="_Toc474499736"/>
            <w:r>
              <w:rPr>
                <w:rFonts w:hint="eastAsia" w:ascii="宋体" w:hAnsi="宋体" w:cs="宋体"/>
                <w:sz w:val="21"/>
                <w:szCs w:val="21"/>
                <w:lang w:val="en-US" w:eastAsia="zh-CN"/>
              </w:rPr>
              <w:t>3.6</w:t>
            </w:r>
            <w:r>
              <w:rPr>
                <w:rFonts w:hint="eastAsia" w:ascii="宋体" w:hAnsi="宋体" w:eastAsia="宋体" w:cs="宋体"/>
                <w:sz w:val="21"/>
                <w:szCs w:val="21"/>
              </w:rPr>
              <w:t>开关量输出I/O口</w:t>
            </w:r>
            <w:bookmarkEnd w:id="18"/>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3.6.1</w:t>
            </w:r>
            <w:r>
              <w:rPr>
                <w:rFonts w:hint="eastAsia" w:ascii="宋体" w:hAnsi="宋体" w:eastAsia="宋体" w:cs="宋体"/>
                <w:sz w:val="21"/>
                <w:szCs w:val="21"/>
              </w:rPr>
              <w:t>开关量全部由主处理器控制</w:t>
            </w:r>
            <w:r>
              <w:rPr>
                <w:rFonts w:hint="eastAsia" w:ascii="宋体" w:hAnsi="宋体" w:cs="宋体"/>
                <w:sz w:val="21"/>
                <w:szCs w:val="21"/>
                <w:lang w:eastAsia="zh-CN"/>
              </w:rPr>
              <w:t>；</w:t>
            </w:r>
          </w:p>
          <w:p>
            <w:pPr>
              <w:pStyle w:val="9"/>
              <w:keepNext w:val="0"/>
              <w:keepLines w:val="0"/>
              <w:pageBreakBefore w:val="0"/>
              <w:widowControl w:val="0"/>
              <w:numPr>
                <w:ilvl w:val="-1"/>
                <w:numId w:val="0"/>
              </w:numPr>
              <w:tabs>
                <w:tab w:val="left" w:pos="900"/>
              </w:tabs>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 xml:space="preserve">3.6.2 </w:t>
            </w:r>
            <w:r>
              <w:rPr>
                <w:rFonts w:hint="eastAsia" w:ascii="宋体" w:hAnsi="宋体" w:eastAsia="宋体" w:cs="宋体"/>
                <w:sz w:val="21"/>
                <w:szCs w:val="21"/>
              </w:rPr>
              <w:t>6路开关量输出，感性负载，单路电流2A。输出方式为继电器无源节点</w:t>
            </w:r>
            <w:r>
              <w:rPr>
                <w:rFonts w:hint="eastAsia" w:ascii="宋体" w:hAnsi="宋体" w:cs="宋体"/>
                <w:sz w:val="21"/>
                <w:szCs w:val="21"/>
                <w:lang w:eastAsia="zh-CN"/>
              </w:rPr>
              <w:t>；</w:t>
            </w:r>
          </w:p>
          <w:p>
            <w:pPr>
              <w:pStyle w:val="9"/>
              <w:keepNext w:val="0"/>
              <w:keepLines w:val="0"/>
              <w:pageBreakBefore w:val="0"/>
              <w:widowControl w:val="0"/>
              <w:numPr>
                <w:ilvl w:val="-1"/>
                <w:numId w:val="0"/>
              </w:numPr>
              <w:tabs>
                <w:tab w:val="left" w:pos="900"/>
              </w:tabs>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 xml:space="preserve">3.6.3 </w:t>
            </w:r>
            <w:r>
              <w:rPr>
                <w:rFonts w:hint="eastAsia" w:ascii="宋体" w:hAnsi="宋体" w:eastAsia="宋体" w:cs="宋体"/>
                <w:sz w:val="21"/>
                <w:szCs w:val="21"/>
              </w:rPr>
              <w:t>2路限流开关量输出，阻性负载，单路电流4A。控制指令时间2S，实际点火时间200m</w:t>
            </w:r>
            <w:r>
              <w:rPr>
                <w:rFonts w:hint="eastAsia" w:ascii="宋体" w:hAnsi="宋体" w:cs="宋体"/>
                <w:sz w:val="21"/>
                <w:szCs w:val="21"/>
                <w:lang w:val="en-US" w:eastAsia="zh-CN"/>
              </w:rPr>
              <w:t>s</w:t>
            </w:r>
            <w:r>
              <w:rPr>
                <w:rFonts w:hint="eastAsia" w:ascii="宋体" w:hAnsi="宋体" w:eastAsia="宋体" w:cs="宋体"/>
                <w:sz w:val="21"/>
                <w:szCs w:val="21"/>
              </w:rPr>
              <w:t>。输出方式为继电器无源节点。电阻阻值为12欧姆</w:t>
            </w:r>
            <w:r>
              <w:rPr>
                <w:rFonts w:hint="eastAsia" w:ascii="宋体" w:hAnsi="宋体" w:cs="宋体"/>
                <w:sz w:val="21"/>
                <w:szCs w:val="21"/>
                <w:lang w:eastAsia="zh-CN"/>
              </w:rPr>
              <w:t>；</w:t>
            </w:r>
          </w:p>
          <w:p>
            <w:pPr>
              <w:pStyle w:val="9"/>
              <w:keepNext w:val="0"/>
              <w:keepLines w:val="0"/>
              <w:pageBreakBefore w:val="0"/>
              <w:widowControl w:val="0"/>
              <w:numPr>
                <w:ilvl w:val="-1"/>
                <w:numId w:val="0"/>
              </w:numPr>
              <w:tabs>
                <w:tab w:val="left" w:pos="900"/>
              </w:tabs>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 xml:space="preserve">3.6.4 </w:t>
            </w:r>
            <w:r>
              <w:rPr>
                <w:rFonts w:hint="eastAsia" w:ascii="宋体" w:hAnsi="宋体" w:eastAsia="宋体" w:cs="宋体"/>
                <w:sz w:val="21"/>
                <w:szCs w:val="21"/>
              </w:rPr>
              <w:t>4路低压控制开关量输出，单路电流不超过20mA，总电流不超过80mA，由1个与一体机内部隔离的5V单独供电。</w:t>
            </w:r>
          </w:p>
          <w:p>
            <w:pPr>
              <w:pStyle w:val="5"/>
              <w:keepNext w:val="0"/>
              <w:keepLines w:val="0"/>
              <w:pageBreakBefore w:val="0"/>
              <w:widowControl w:val="0"/>
              <w:tabs>
                <w:tab w:val="left" w:pos="720"/>
              </w:tabs>
              <w:kinsoku/>
              <w:wordWrap/>
              <w:overflowPunct/>
              <w:topLinePunct w:val="0"/>
              <w:autoSpaceDE/>
              <w:autoSpaceDN/>
              <w:bidi w:val="0"/>
              <w:adjustRightInd w:val="0"/>
              <w:snapToGrid w:val="0"/>
              <w:spacing w:before="0" w:beforeAutospacing="0" w:after="0" w:afterAutospacing="0" w:line="288" w:lineRule="auto"/>
              <w:ind w:left="0" w:firstLine="0" w:firstLineChars="0"/>
              <w:jc w:val="left"/>
              <w:textAlignment w:val="auto"/>
              <w:rPr>
                <w:rFonts w:hint="eastAsia" w:ascii="宋体" w:hAnsi="宋体" w:eastAsia="宋体" w:cs="宋体"/>
                <w:sz w:val="21"/>
                <w:szCs w:val="21"/>
              </w:rPr>
            </w:pPr>
            <w:bookmarkStart w:id="19" w:name="_Toc474499737"/>
            <w:r>
              <w:rPr>
                <w:rFonts w:hint="eastAsia" w:ascii="宋体" w:hAnsi="宋体" w:cs="宋体"/>
                <w:sz w:val="21"/>
                <w:szCs w:val="21"/>
                <w:lang w:val="en-US" w:eastAsia="zh-CN"/>
              </w:rPr>
              <w:t>3.7</w:t>
            </w:r>
            <w:r>
              <w:rPr>
                <w:rFonts w:hint="eastAsia" w:ascii="宋体" w:hAnsi="宋体" w:eastAsia="宋体" w:cs="宋体"/>
                <w:sz w:val="21"/>
                <w:szCs w:val="21"/>
              </w:rPr>
              <w:t>开关量输入I/O口</w:t>
            </w:r>
            <w:bookmarkEnd w:id="19"/>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3.7.1</w:t>
            </w:r>
            <w:r>
              <w:rPr>
                <w:rFonts w:hint="eastAsia" w:ascii="宋体" w:hAnsi="宋体" w:eastAsia="宋体" w:cs="宋体"/>
                <w:sz w:val="21"/>
                <w:szCs w:val="21"/>
              </w:rPr>
              <w:t>开关量全部由主处理器控制</w:t>
            </w:r>
            <w:r>
              <w:rPr>
                <w:rFonts w:hint="eastAsia" w:ascii="宋体" w:hAnsi="宋体" w:cs="宋体"/>
                <w:sz w:val="21"/>
                <w:szCs w:val="21"/>
                <w:lang w:eastAsia="zh-CN"/>
              </w:rPr>
              <w:t>；</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3.7.2</w:t>
            </w:r>
            <w:r>
              <w:rPr>
                <w:rFonts w:hint="eastAsia" w:ascii="宋体" w:hAnsi="宋体" w:eastAsia="宋体" w:cs="宋体"/>
                <w:sz w:val="21"/>
                <w:szCs w:val="21"/>
              </w:rPr>
              <w:t>提供4路开关量输入采集功能，接口为继电器无源节点，开关量输入采集需进行滤波防抖动设计，滤除1m</w:t>
            </w:r>
            <w:r>
              <w:rPr>
                <w:rFonts w:hint="eastAsia" w:ascii="宋体" w:hAnsi="宋体" w:cs="宋体"/>
                <w:sz w:val="21"/>
                <w:szCs w:val="21"/>
                <w:lang w:val="en-US" w:eastAsia="zh-CN"/>
              </w:rPr>
              <w:t>s</w:t>
            </w:r>
            <w:r>
              <w:rPr>
                <w:rFonts w:hint="eastAsia" w:ascii="宋体" w:hAnsi="宋体" w:eastAsia="宋体" w:cs="宋体"/>
                <w:sz w:val="21"/>
                <w:szCs w:val="21"/>
              </w:rPr>
              <w:t>以下的毛刺。</w:t>
            </w:r>
          </w:p>
          <w:p>
            <w:pPr>
              <w:pStyle w:val="5"/>
              <w:keepNext w:val="0"/>
              <w:keepLines w:val="0"/>
              <w:pageBreakBefore w:val="0"/>
              <w:widowControl w:val="0"/>
              <w:tabs>
                <w:tab w:val="left" w:pos="720"/>
              </w:tabs>
              <w:kinsoku/>
              <w:wordWrap/>
              <w:overflowPunct/>
              <w:topLinePunct w:val="0"/>
              <w:autoSpaceDE/>
              <w:autoSpaceDN/>
              <w:bidi w:val="0"/>
              <w:adjustRightInd w:val="0"/>
              <w:snapToGrid w:val="0"/>
              <w:spacing w:before="0" w:beforeAutospacing="0" w:after="0" w:afterAutospacing="0" w:line="288" w:lineRule="auto"/>
              <w:ind w:left="0" w:firstLine="0" w:firstLineChars="0"/>
              <w:jc w:val="left"/>
              <w:textAlignment w:val="auto"/>
              <w:rPr>
                <w:rFonts w:hint="eastAsia" w:ascii="宋体" w:hAnsi="宋体" w:eastAsia="宋体" w:cs="宋体"/>
                <w:sz w:val="21"/>
                <w:szCs w:val="21"/>
              </w:rPr>
            </w:pPr>
            <w:bookmarkStart w:id="20" w:name="_Toc474499739"/>
            <w:r>
              <w:rPr>
                <w:rFonts w:hint="eastAsia" w:ascii="宋体" w:hAnsi="宋体" w:cs="宋体"/>
                <w:sz w:val="21"/>
                <w:szCs w:val="21"/>
                <w:lang w:val="en-US" w:eastAsia="zh-CN"/>
              </w:rPr>
              <w:t>3.8</w:t>
            </w:r>
            <w:r>
              <w:rPr>
                <w:rFonts w:hint="eastAsia" w:ascii="宋体" w:hAnsi="宋体" w:eastAsia="宋体" w:cs="宋体"/>
                <w:sz w:val="21"/>
                <w:szCs w:val="21"/>
              </w:rPr>
              <w:t>仿真调试接口</w:t>
            </w:r>
            <w:bookmarkEnd w:id="20"/>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3.8.1</w:t>
            </w:r>
            <w:r>
              <w:rPr>
                <w:rFonts w:hint="eastAsia" w:ascii="宋体" w:hAnsi="宋体" w:eastAsia="宋体" w:cs="宋体"/>
                <w:sz w:val="21"/>
                <w:szCs w:val="21"/>
              </w:rPr>
              <w:t>引出一路中断信号，用于用户的外部秒脉冲中断输入，5V电平，输入电流20mA，输入需隔离，隔离电采用K5V。接入从处理器</w:t>
            </w:r>
            <w:r>
              <w:rPr>
                <w:rFonts w:hint="eastAsia" w:ascii="宋体" w:hAnsi="宋体" w:cs="宋体"/>
                <w:sz w:val="21"/>
                <w:szCs w:val="21"/>
                <w:lang w:eastAsia="zh-CN"/>
              </w:rPr>
              <w:t>；</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3.8.2</w:t>
            </w:r>
            <w:r>
              <w:rPr>
                <w:rFonts w:hint="eastAsia" w:ascii="宋体" w:hAnsi="宋体" w:eastAsia="宋体" w:cs="宋体"/>
                <w:sz w:val="21"/>
                <w:szCs w:val="21"/>
              </w:rPr>
              <w:t>引出GPS的秒脉冲信号，用于用户的外部测量，5V电平，隔离输出，隔离电采用K5V。</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21" w:name="_Toc479334509"/>
            <w:bookmarkStart w:id="22" w:name="_Toc474499740"/>
            <w:r>
              <w:rPr>
                <w:rFonts w:hint="eastAsia" w:ascii="宋体" w:hAnsi="宋体" w:cs="宋体"/>
                <w:sz w:val="21"/>
                <w:szCs w:val="21"/>
                <w:lang w:val="en-US" w:eastAsia="zh-CN"/>
              </w:rPr>
              <w:t>4、</w:t>
            </w:r>
            <w:r>
              <w:rPr>
                <w:rFonts w:hint="eastAsia" w:ascii="宋体" w:hAnsi="宋体" w:eastAsia="宋体" w:cs="宋体"/>
                <w:sz w:val="21"/>
                <w:szCs w:val="21"/>
              </w:rPr>
              <w:t>卫导指标要求</w:t>
            </w:r>
            <w:bookmarkEnd w:id="21"/>
            <w:bookmarkEnd w:id="22"/>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4.1</w:t>
            </w:r>
            <w:r>
              <w:rPr>
                <w:rFonts w:hint="eastAsia" w:ascii="宋体" w:hAnsi="宋体" w:eastAsia="宋体" w:cs="宋体"/>
                <w:sz w:val="21"/>
                <w:szCs w:val="21"/>
              </w:rPr>
              <w:t>卫导接入从处理器</w:t>
            </w:r>
            <w:r>
              <w:rPr>
                <w:rFonts w:hint="eastAsia" w:ascii="宋体" w:hAnsi="宋体" w:cs="宋体"/>
                <w:sz w:val="21"/>
                <w:szCs w:val="21"/>
                <w:lang w:eastAsia="zh-CN"/>
              </w:rPr>
              <w:t>；</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4.2</w:t>
            </w:r>
            <w:r>
              <w:rPr>
                <w:rFonts w:hint="eastAsia" w:ascii="宋体" w:hAnsi="宋体" w:eastAsia="宋体" w:cs="宋体"/>
                <w:sz w:val="21"/>
                <w:szCs w:val="21"/>
              </w:rPr>
              <w:t>兼容BD和GPS，数据更新率20Hz</w:t>
            </w:r>
            <w:r>
              <w:rPr>
                <w:rFonts w:hint="eastAsia" w:ascii="宋体" w:hAnsi="宋体" w:cs="宋体"/>
                <w:sz w:val="21"/>
                <w:szCs w:val="21"/>
                <w:lang w:eastAsia="zh-CN"/>
              </w:rPr>
              <w:t>；</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4.3</w:t>
            </w:r>
            <w:r>
              <w:rPr>
                <w:rFonts w:hint="eastAsia" w:ascii="宋体" w:hAnsi="宋体" w:eastAsia="宋体" w:cs="宋体"/>
                <w:sz w:val="21"/>
                <w:szCs w:val="21"/>
              </w:rPr>
              <w:t>定位精度：10m。最大速度满足500m/s</w:t>
            </w:r>
            <w:r>
              <w:rPr>
                <w:rFonts w:hint="eastAsia" w:ascii="宋体" w:hAnsi="宋体" w:cs="宋体"/>
                <w:sz w:val="21"/>
                <w:szCs w:val="21"/>
                <w:lang w:eastAsia="zh-CN"/>
              </w:rPr>
              <w:t>；</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4.4</w:t>
            </w:r>
            <w:r>
              <w:rPr>
                <w:rFonts w:hint="eastAsia" w:ascii="宋体" w:hAnsi="宋体" w:eastAsia="宋体" w:cs="宋体"/>
                <w:sz w:val="21"/>
                <w:szCs w:val="21"/>
              </w:rPr>
              <w:t>支持后差分处理功能</w:t>
            </w:r>
            <w:r>
              <w:rPr>
                <w:rFonts w:hint="eastAsia" w:ascii="宋体" w:hAnsi="宋体" w:cs="宋体"/>
                <w:sz w:val="21"/>
                <w:szCs w:val="21"/>
                <w:lang w:eastAsia="zh-CN"/>
              </w:rPr>
              <w:t>；</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 xml:space="preserve">4.5 </w:t>
            </w:r>
            <w:r>
              <w:rPr>
                <w:rFonts w:hint="eastAsia" w:ascii="宋体" w:hAnsi="宋体" w:eastAsia="宋体" w:cs="宋体"/>
                <w:sz w:val="21"/>
                <w:szCs w:val="21"/>
              </w:rPr>
              <w:t>3路输出接口，第1路输出导航信息，第2路输出后处理差分相关信息，第3路输出RTK差分相关信息。其中第2、3路采用422差分电平直接输出至一体机外部，需隔离。</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23" w:name="_Toc474499741"/>
            <w:bookmarkStart w:id="24" w:name="_Toc479334510"/>
            <w:r>
              <w:rPr>
                <w:rFonts w:hint="eastAsia" w:ascii="宋体" w:hAnsi="宋体" w:cs="宋体"/>
                <w:sz w:val="21"/>
                <w:szCs w:val="21"/>
                <w:lang w:val="en-US" w:eastAsia="zh-CN"/>
              </w:rPr>
              <w:t>5、</w:t>
            </w:r>
            <w:r>
              <w:rPr>
                <w:rFonts w:hint="eastAsia" w:ascii="宋体" w:hAnsi="宋体" w:eastAsia="宋体" w:cs="宋体"/>
                <w:sz w:val="21"/>
                <w:szCs w:val="21"/>
              </w:rPr>
              <w:t>惯导指标要求</w:t>
            </w:r>
            <w:bookmarkEnd w:id="23"/>
            <w:bookmarkEnd w:id="24"/>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为了保证其工作稳定性，需对其进行加固设计，IMU接入从处理器。</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25" w:name="_Toc474499742"/>
            <w:bookmarkStart w:id="26" w:name="_Toc479334511"/>
            <w:r>
              <w:rPr>
                <w:rFonts w:hint="eastAsia" w:ascii="宋体" w:hAnsi="宋体" w:cs="宋体"/>
                <w:sz w:val="21"/>
                <w:szCs w:val="21"/>
                <w:lang w:val="en-US" w:eastAsia="zh-CN"/>
              </w:rPr>
              <w:t>6、</w:t>
            </w:r>
            <w:r>
              <w:rPr>
                <w:rFonts w:hint="eastAsia" w:ascii="宋体" w:hAnsi="宋体" w:eastAsia="宋体" w:cs="宋体"/>
                <w:sz w:val="21"/>
                <w:szCs w:val="21"/>
              </w:rPr>
              <w:t>大气数据指标要求</w:t>
            </w:r>
            <w:bookmarkEnd w:id="25"/>
            <w:bookmarkEnd w:id="26"/>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6.1</w:t>
            </w:r>
            <w:r>
              <w:rPr>
                <w:rFonts w:hint="eastAsia" w:ascii="宋体" w:hAnsi="宋体" w:eastAsia="宋体" w:cs="宋体"/>
                <w:sz w:val="21"/>
                <w:szCs w:val="21"/>
              </w:rPr>
              <w:t>大气数据接入从处理器</w:t>
            </w:r>
            <w:r>
              <w:rPr>
                <w:rFonts w:hint="eastAsia" w:ascii="宋体" w:hAnsi="宋体" w:cs="宋体"/>
                <w:sz w:val="21"/>
                <w:szCs w:val="21"/>
                <w:lang w:eastAsia="zh-CN"/>
              </w:rPr>
              <w:t>；</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6.2</w:t>
            </w:r>
            <w:r>
              <w:rPr>
                <w:rFonts w:hint="eastAsia" w:ascii="宋体" w:hAnsi="宋体" w:eastAsia="宋体" w:cs="宋体"/>
                <w:sz w:val="21"/>
                <w:szCs w:val="21"/>
              </w:rPr>
              <w:t>静压范围：地面压强20kPa～101kPa；</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6.3</w:t>
            </w:r>
            <w:r>
              <w:rPr>
                <w:rFonts w:hint="eastAsia" w:ascii="宋体" w:hAnsi="宋体" w:eastAsia="宋体" w:cs="宋体"/>
                <w:sz w:val="21"/>
                <w:szCs w:val="21"/>
              </w:rPr>
              <w:t>动压范围：1马赫（90kPa～100kPa）；</w:t>
            </w:r>
          </w:p>
          <w:p>
            <w:pPr>
              <w:pStyle w:val="10"/>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6.4</w:t>
            </w:r>
            <w:r>
              <w:rPr>
                <w:rFonts w:hint="eastAsia" w:ascii="宋体" w:hAnsi="宋体" w:eastAsia="宋体" w:cs="宋体"/>
                <w:sz w:val="21"/>
                <w:szCs w:val="21"/>
              </w:rPr>
              <w:t>灵敏度：</w:t>
            </w:r>
            <w:r>
              <w:rPr>
                <w:rFonts w:hint="eastAsia" w:ascii="宋体" w:hAnsi="宋体" w:cs="宋体"/>
                <w:sz w:val="21"/>
                <w:szCs w:val="21"/>
                <w:lang w:val="en-US" w:eastAsia="zh-CN"/>
              </w:rPr>
              <w:t>＜</w:t>
            </w:r>
            <w:r>
              <w:rPr>
                <w:rFonts w:hint="eastAsia" w:ascii="宋体" w:hAnsi="宋体" w:eastAsia="宋体" w:cs="宋体"/>
                <w:sz w:val="21"/>
                <w:szCs w:val="21"/>
              </w:rPr>
              <w:t>±3%FS</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27" w:name="_Toc479334512"/>
            <w:bookmarkStart w:id="28" w:name="_Toc474499743"/>
            <w:r>
              <w:rPr>
                <w:rFonts w:hint="eastAsia" w:ascii="宋体" w:hAnsi="宋体" w:cs="宋体"/>
                <w:sz w:val="21"/>
                <w:szCs w:val="21"/>
                <w:lang w:val="en-US" w:eastAsia="zh-CN"/>
              </w:rPr>
              <w:t>7、</w:t>
            </w:r>
            <w:r>
              <w:rPr>
                <w:rFonts w:hint="eastAsia" w:ascii="宋体" w:hAnsi="宋体" w:eastAsia="宋体" w:cs="宋体"/>
                <w:sz w:val="21"/>
                <w:szCs w:val="21"/>
              </w:rPr>
              <w:t>接口要求</w:t>
            </w:r>
            <w:bookmarkEnd w:id="27"/>
            <w:bookmarkEnd w:id="28"/>
          </w:p>
          <w:p>
            <w:pPr>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rPr>
              <w:t>接插件从一体机顶部引出。连接器采用J30J系列接插件</w:t>
            </w:r>
            <w:r>
              <w:rPr>
                <w:rFonts w:hint="eastAsia"/>
                <w:lang w:eastAsia="zh-CN"/>
              </w:rPr>
              <w:t>。</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29" w:name="_Toc474499744"/>
            <w:bookmarkStart w:id="30" w:name="_Toc479334513"/>
            <w:r>
              <w:rPr>
                <w:rFonts w:hint="eastAsia" w:ascii="宋体" w:hAnsi="宋体" w:cs="宋体"/>
                <w:sz w:val="21"/>
                <w:szCs w:val="21"/>
                <w:lang w:val="en-US" w:eastAsia="zh-CN"/>
              </w:rPr>
              <w:t>8、</w:t>
            </w:r>
            <w:r>
              <w:rPr>
                <w:rFonts w:hint="eastAsia" w:ascii="宋体" w:hAnsi="宋体" w:eastAsia="宋体" w:cs="宋体"/>
                <w:sz w:val="21"/>
                <w:szCs w:val="21"/>
              </w:rPr>
              <w:t>调试功能要求</w:t>
            </w:r>
            <w:bookmarkEnd w:id="29"/>
            <w:bookmarkEnd w:id="30"/>
          </w:p>
          <w:p>
            <w:pPr>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在不开盖条件下，一体机可通过地面监控软件上传和更新飞行程序。更新程序通过RS422完成。该串口应和供电位于同一接插件。</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31" w:name="_Toc479334514"/>
            <w:bookmarkStart w:id="32" w:name="_Toc474499745"/>
            <w:r>
              <w:rPr>
                <w:rFonts w:hint="eastAsia" w:ascii="宋体" w:hAnsi="宋体" w:cs="宋体"/>
                <w:sz w:val="21"/>
                <w:szCs w:val="21"/>
                <w:lang w:val="en-US" w:eastAsia="zh-CN"/>
              </w:rPr>
              <w:t>9、</w:t>
            </w:r>
            <w:r>
              <w:rPr>
                <w:rFonts w:hint="eastAsia" w:ascii="宋体" w:hAnsi="宋体" w:eastAsia="宋体" w:cs="宋体"/>
                <w:sz w:val="21"/>
                <w:szCs w:val="21"/>
              </w:rPr>
              <w:t>组合导航功能要求</w:t>
            </w:r>
            <w:bookmarkEnd w:id="31"/>
            <w:bookmarkEnd w:id="32"/>
          </w:p>
          <w:p>
            <w:pPr>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一体机在从处理器中实现组合导航算法。</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33" w:name="_Toc434766164"/>
            <w:bookmarkStart w:id="34" w:name="_Toc420597432"/>
            <w:bookmarkStart w:id="35" w:name="_Toc467761643"/>
            <w:bookmarkStart w:id="36" w:name="_Toc436209048"/>
            <w:bookmarkStart w:id="37" w:name="_Toc479334518"/>
            <w:r>
              <w:rPr>
                <w:rFonts w:hint="eastAsia" w:ascii="宋体" w:hAnsi="宋体" w:cs="宋体"/>
                <w:sz w:val="21"/>
                <w:szCs w:val="21"/>
                <w:lang w:val="en-US" w:eastAsia="zh-CN"/>
              </w:rPr>
              <w:t>10、</w:t>
            </w:r>
            <w:r>
              <w:rPr>
                <w:rFonts w:hint="eastAsia" w:ascii="宋体" w:hAnsi="宋体" w:eastAsia="宋体" w:cs="宋体"/>
                <w:sz w:val="21"/>
                <w:szCs w:val="21"/>
              </w:rPr>
              <w:t>标准化要求</w:t>
            </w:r>
            <w:bookmarkEnd w:id="33"/>
            <w:bookmarkEnd w:id="34"/>
            <w:bookmarkEnd w:id="35"/>
            <w:bookmarkEnd w:id="36"/>
            <w:bookmarkEnd w:id="37"/>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应进行标准化、模块化设计。</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38" w:name="_Toc467761645"/>
            <w:bookmarkStart w:id="39" w:name="_Toc479334520"/>
            <w:r>
              <w:rPr>
                <w:rFonts w:hint="eastAsia" w:ascii="宋体" w:hAnsi="宋体" w:cs="宋体"/>
                <w:sz w:val="21"/>
                <w:szCs w:val="21"/>
                <w:lang w:val="en-US" w:eastAsia="zh-CN"/>
              </w:rPr>
              <w:t>11、</w:t>
            </w:r>
            <w:r>
              <w:rPr>
                <w:rFonts w:hint="eastAsia" w:ascii="宋体" w:hAnsi="宋体" w:eastAsia="宋体" w:cs="宋体"/>
                <w:sz w:val="21"/>
                <w:szCs w:val="21"/>
              </w:rPr>
              <w:t>可靠性要求</w:t>
            </w:r>
            <w:bookmarkEnd w:id="38"/>
            <w:bookmarkEnd w:id="39"/>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bookmarkStart w:id="40" w:name="_Toc467761646"/>
            <w:r>
              <w:rPr>
                <w:rFonts w:hint="eastAsia" w:ascii="宋体" w:hAnsi="宋体" w:cs="宋体"/>
                <w:sz w:val="21"/>
                <w:szCs w:val="21"/>
                <w:lang w:val="en-US" w:eastAsia="zh-CN"/>
              </w:rPr>
              <w:t>11.1</w:t>
            </w:r>
            <w:r>
              <w:rPr>
                <w:rFonts w:hint="eastAsia" w:ascii="宋体" w:hAnsi="宋体" w:eastAsia="宋体" w:cs="宋体"/>
                <w:sz w:val="21"/>
                <w:szCs w:val="21"/>
              </w:rPr>
              <w:t>产品正常使用期限≥6</w:t>
            </w:r>
            <w:r>
              <w:rPr>
                <w:rFonts w:hint="eastAsia" w:ascii="宋体" w:hAnsi="宋体" w:cs="宋体"/>
                <w:sz w:val="21"/>
                <w:szCs w:val="21"/>
                <w:lang w:eastAsia="zh-CN"/>
              </w:rPr>
              <w:t>年</w:t>
            </w:r>
            <w:r>
              <w:rPr>
                <w:rFonts w:hint="eastAsia" w:ascii="宋体" w:hAnsi="宋体" w:eastAsia="宋体" w:cs="宋体"/>
                <w:sz w:val="21"/>
                <w:szCs w:val="21"/>
              </w:rPr>
              <w:t>；</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11.2</w:t>
            </w:r>
            <w:r>
              <w:rPr>
                <w:rFonts w:hint="eastAsia" w:ascii="宋体" w:hAnsi="宋体" w:eastAsia="宋体" w:cs="宋体"/>
                <w:sz w:val="21"/>
                <w:szCs w:val="21"/>
              </w:rPr>
              <w:t>一次连续工作时间≥2h；</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11.3</w:t>
            </w:r>
            <w:r>
              <w:rPr>
                <w:rFonts w:hint="eastAsia" w:ascii="宋体" w:hAnsi="宋体" w:eastAsia="宋体" w:cs="宋体"/>
                <w:sz w:val="21"/>
                <w:szCs w:val="21"/>
              </w:rPr>
              <w:t>产品工作寿命≥200h（可更换部分零部件）；</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11.4</w:t>
            </w:r>
            <w:r>
              <w:rPr>
                <w:rFonts w:hint="eastAsia" w:ascii="宋体" w:hAnsi="宋体" w:eastAsia="宋体" w:cs="宋体"/>
                <w:sz w:val="21"/>
                <w:szCs w:val="21"/>
              </w:rPr>
              <w:t>MTBF≥1000h</w:t>
            </w:r>
            <w:r>
              <w:rPr>
                <w:rFonts w:hint="eastAsia" w:ascii="宋体" w:hAnsi="宋体" w:cs="宋体"/>
                <w:sz w:val="21"/>
                <w:szCs w:val="21"/>
                <w:lang w:eastAsia="zh-CN"/>
              </w:rPr>
              <w:t>。</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41" w:name="_Toc479334521"/>
            <w:r>
              <w:rPr>
                <w:rFonts w:hint="eastAsia" w:ascii="宋体" w:hAnsi="宋体" w:cs="宋体"/>
                <w:sz w:val="21"/>
                <w:szCs w:val="21"/>
                <w:lang w:val="en-US" w:eastAsia="zh-CN"/>
              </w:rPr>
              <w:t>12、</w:t>
            </w:r>
            <w:r>
              <w:rPr>
                <w:rFonts w:hint="eastAsia" w:ascii="宋体" w:hAnsi="宋体" w:eastAsia="宋体" w:cs="宋体"/>
                <w:sz w:val="21"/>
                <w:szCs w:val="21"/>
              </w:rPr>
              <w:t>维修性要求</w:t>
            </w:r>
            <w:bookmarkEnd w:id="40"/>
            <w:bookmarkEnd w:id="41"/>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12.1</w:t>
            </w:r>
            <w:r>
              <w:rPr>
                <w:rFonts w:hint="eastAsia" w:ascii="宋体" w:hAnsi="宋体" w:eastAsia="宋体" w:cs="宋体"/>
                <w:sz w:val="21"/>
                <w:szCs w:val="21"/>
              </w:rPr>
              <w:t>组件的结构</w:t>
            </w:r>
            <w:r>
              <w:rPr>
                <w:rFonts w:hint="eastAsia" w:ascii="宋体" w:hAnsi="宋体" w:cs="宋体"/>
                <w:sz w:val="21"/>
                <w:szCs w:val="21"/>
                <w:lang w:val="en-US" w:eastAsia="zh-CN"/>
              </w:rPr>
              <w:t>需</w:t>
            </w:r>
            <w:r>
              <w:rPr>
                <w:rFonts w:hint="eastAsia" w:ascii="宋体" w:hAnsi="宋体" w:eastAsia="宋体" w:cs="宋体"/>
                <w:sz w:val="21"/>
                <w:szCs w:val="21"/>
              </w:rPr>
              <w:t>简单，便于维修</w:t>
            </w:r>
            <w:r>
              <w:rPr>
                <w:rFonts w:hint="eastAsia" w:ascii="宋体" w:hAnsi="宋体" w:cs="宋体"/>
                <w:sz w:val="21"/>
                <w:szCs w:val="21"/>
                <w:lang w:eastAsia="zh-CN"/>
              </w:rPr>
              <w:t>，</w:t>
            </w:r>
            <w:r>
              <w:rPr>
                <w:rFonts w:hint="eastAsia" w:ascii="宋体" w:hAnsi="宋体" w:eastAsia="宋体" w:cs="宋体"/>
                <w:sz w:val="21"/>
                <w:szCs w:val="21"/>
              </w:rPr>
              <w:t>降低维修的技术要求；</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12.2</w:t>
            </w:r>
            <w:r>
              <w:rPr>
                <w:rFonts w:hint="eastAsia" w:ascii="宋体" w:hAnsi="宋体" w:eastAsia="宋体" w:cs="宋体"/>
                <w:sz w:val="21"/>
                <w:szCs w:val="21"/>
              </w:rPr>
              <w:t>MTTR≤0.5h</w:t>
            </w:r>
            <w:r>
              <w:rPr>
                <w:rFonts w:hint="eastAsia" w:ascii="宋体" w:hAnsi="宋体" w:cs="宋体"/>
                <w:sz w:val="21"/>
                <w:szCs w:val="21"/>
                <w:lang w:eastAsia="zh-CN"/>
              </w:rPr>
              <w:t>。</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42" w:name="_Toc467761647"/>
            <w:bookmarkStart w:id="43" w:name="_Toc479334522"/>
            <w:r>
              <w:rPr>
                <w:rFonts w:hint="eastAsia" w:ascii="宋体" w:hAnsi="宋体" w:cs="宋体"/>
                <w:sz w:val="21"/>
                <w:szCs w:val="21"/>
                <w:lang w:val="en-US" w:eastAsia="zh-CN"/>
              </w:rPr>
              <w:t>13、</w:t>
            </w:r>
            <w:r>
              <w:rPr>
                <w:rFonts w:hint="eastAsia" w:ascii="宋体" w:hAnsi="宋体" w:eastAsia="宋体" w:cs="宋体"/>
                <w:sz w:val="21"/>
                <w:szCs w:val="21"/>
              </w:rPr>
              <w:t>安全性要求</w:t>
            </w:r>
            <w:bookmarkEnd w:id="42"/>
            <w:bookmarkEnd w:id="43"/>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13.1</w:t>
            </w:r>
            <w:r>
              <w:rPr>
                <w:rFonts w:hint="eastAsia" w:ascii="宋体" w:hAnsi="宋体" w:eastAsia="宋体" w:cs="宋体"/>
                <w:sz w:val="21"/>
                <w:szCs w:val="21"/>
              </w:rPr>
              <w:t>依据GB/T 25295-2010《电气设备安全设计导则》、GJB 94-1997《军用电气系统安全设计手册》、GJB/Z 99-1997《系统安全工程手册》，等相关规范对制导控制组件进行安全性设计、危险分析和安全性评估、开展安全性管理、进行安全性设计与分析、安全性试验与验证、提出安全性保证措施等安全性保证工作。</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13.2</w:t>
            </w:r>
            <w:r>
              <w:rPr>
                <w:rFonts w:hint="eastAsia" w:ascii="宋体" w:hAnsi="宋体" w:eastAsia="宋体" w:cs="宋体"/>
                <w:sz w:val="21"/>
                <w:szCs w:val="21"/>
              </w:rPr>
              <w:t>断电后电压恢复到正常值，重新加电时仍能正常工作。</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44" w:name="_Toc467761651"/>
            <w:bookmarkStart w:id="45" w:name="_Toc434766171"/>
            <w:bookmarkStart w:id="46" w:name="_Toc435129126"/>
            <w:bookmarkStart w:id="47" w:name="_Toc420597436"/>
            <w:bookmarkStart w:id="48" w:name="_Toc479334523"/>
            <w:r>
              <w:rPr>
                <w:rFonts w:hint="eastAsia" w:ascii="宋体" w:hAnsi="宋体" w:cs="宋体"/>
                <w:sz w:val="21"/>
                <w:szCs w:val="21"/>
                <w:lang w:val="en-US" w:eastAsia="zh-CN"/>
              </w:rPr>
              <w:t>14、</w:t>
            </w:r>
            <w:r>
              <w:rPr>
                <w:rFonts w:hint="eastAsia" w:ascii="宋体" w:hAnsi="宋体" w:eastAsia="宋体" w:cs="宋体"/>
                <w:sz w:val="21"/>
                <w:szCs w:val="21"/>
              </w:rPr>
              <w:t>保障性设计</w:t>
            </w:r>
            <w:bookmarkEnd w:id="44"/>
            <w:bookmarkEnd w:id="45"/>
            <w:bookmarkEnd w:id="46"/>
            <w:bookmarkEnd w:id="47"/>
            <w:bookmarkEnd w:id="48"/>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贯彻落实武器系统好用、实用、管用、耐用的研制要求，进行产品保障性设计。</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49" w:name="_Toc435129127"/>
            <w:bookmarkStart w:id="50" w:name="_Toc467761652"/>
            <w:bookmarkStart w:id="51" w:name="_Toc479334524"/>
            <w:r>
              <w:rPr>
                <w:rFonts w:hint="eastAsia" w:ascii="宋体" w:hAnsi="宋体" w:cs="宋体"/>
                <w:sz w:val="21"/>
                <w:szCs w:val="21"/>
                <w:lang w:val="en-US" w:eastAsia="zh-CN"/>
              </w:rPr>
              <w:t>15、</w:t>
            </w:r>
            <w:r>
              <w:rPr>
                <w:rFonts w:hint="eastAsia" w:ascii="宋体" w:hAnsi="宋体" w:eastAsia="宋体" w:cs="宋体"/>
                <w:sz w:val="21"/>
                <w:szCs w:val="21"/>
              </w:rPr>
              <w:t>可测试性设计</w:t>
            </w:r>
            <w:bookmarkEnd w:id="49"/>
            <w:bookmarkEnd w:id="50"/>
            <w:bookmarkEnd w:id="51"/>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进行可测试性设计，并在使用说明书中详细阐述故障测试方法，测试方法应简明，便于迅速识别故障点。</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52" w:name="_Toc435129128"/>
            <w:bookmarkStart w:id="53" w:name="_Toc479334525"/>
            <w:bookmarkStart w:id="54" w:name="_Toc467761653"/>
            <w:r>
              <w:rPr>
                <w:rFonts w:hint="eastAsia" w:ascii="宋体" w:hAnsi="宋体" w:cs="宋体"/>
                <w:sz w:val="21"/>
                <w:szCs w:val="21"/>
                <w:lang w:val="en-US" w:eastAsia="zh-CN"/>
              </w:rPr>
              <w:t>16、</w:t>
            </w:r>
            <w:r>
              <w:rPr>
                <w:rFonts w:hint="eastAsia" w:ascii="宋体" w:hAnsi="宋体" w:eastAsia="宋体" w:cs="宋体"/>
                <w:sz w:val="21"/>
                <w:szCs w:val="21"/>
              </w:rPr>
              <w:t>环境适应性设计</w:t>
            </w:r>
            <w:bookmarkEnd w:id="52"/>
            <w:bookmarkEnd w:id="53"/>
            <w:bookmarkEnd w:id="54"/>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应根据环境要求，进行环境适应性设计。按照试验要求进行试验，未进行试验验证的试验项目需进行分析，</w:t>
            </w:r>
            <w:r>
              <w:rPr>
                <w:rFonts w:hint="eastAsia" w:ascii="宋体" w:hAnsi="宋体" w:cs="宋体"/>
                <w:sz w:val="21"/>
                <w:szCs w:val="21"/>
                <w:lang w:val="en-US" w:eastAsia="zh-CN"/>
              </w:rPr>
              <w:t>验收前需</w:t>
            </w:r>
            <w:r>
              <w:rPr>
                <w:rFonts w:hint="eastAsia" w:ascii="宋体" w:hAnsi="宋体" w:eastAsia="宋体" w:cs="宋体"/>
                <w:sz w:val="21"/>
                <w:szCs w:val="21"/>
              </w:rPr>
              <w:t>提供分析报告。</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bookmarkStart w:id="55" w:name="_Toc479334526"/>
            <w:bookmarkStart w:id="56" w:name="_Toc467761658"/>
            <w:r>
              <w:rPr>
                <w:rFonts w:hint="eastAsia" w:ascii="宋体" w:hAnsi="宋体" w:cs="宋体"/>
                <w:sz w:val="21"/>
                <w:szCs w:val="21"/>
                <w:lang w:val="en-US" w:eastAsia="zh-CN"/>
              </w:rPr>
              <w:t>17、</w:t>
            </w:r>
            <w:r>
              <w:rPr>
                <w:rFonts w:hint="eastAsia" w:ascii="宋体" w:hAnsi="宋体" w:eastAsia="宋体" w:cs="宋体"/>
                <w:sz w:val="21"/>
                <w:szCs w:val="21"/>
              </w:rPr>
              <w:t>其它要求</w:t>
            </w:r>
            <w:bookmarkEnd w:id="55"/>
            <w:bookmarkEnd w:id="56"/>
          </w:p>
          <w:p>
            <w:pPr>
              <w:pStyle w:val="6"/>
              <w:keepNext w:val="0"/>
              <w:keepLines w:val="0"/>
              <w:pageBreakBefore w:val="0"/>
              <w:widowControl w:val="0"/>
              <w:kinsoku/>
              <w:wordWrap/>
              <w:overflowPunct/>
              <w:topLinePunct w:val="0"/>
              <w:autoSpaceDE/>
              <w:autoSpaceDN/>
              <w:bidi w:val="0"/>
              <w:adjustRightInd w:val="0"/>
              <w:snapToGrid w:val="0"/>
              <w:spacing w:beforeLines="0" w:afterLines="0" w:line="288" w:lineRule="auto"/>
              <w:ind w:left="0" w:firstLine="0" w:firstLineChars="0"/>
              <w:textAlignment w:val="auto"/>
              <w:rPr>
                <w:rFonts w:hint="eastAsia" w:ascii="宋体" w:hAnsi="宋体" w:eastAsia="宋体" w:cs="宋体"/>
                <w:sz w:val="21"/>
                <w:szCs w:val="21"/>
              </w:rPr>
            </w:pPr>
            <w:r>
              <w:rPr>
                <w:rFonts w:hint="eastAsia" w:hAnsi="宋体" w:cs="宋体"/>
                <w:sz w:val="21"/>
                <w:szCs w:val="21"/>
                <w:lang w:val="en-US" w:eastAsia="zh-CN"/>
              </w:rPr>
              <w:t>17.1</w:t>
            </w:r>
            <w:r>
              <w:rPr>
                <w:rFonts w:hint="eastAsia" w:ascii="宋体" w:hAnsi="宋体" w:eastAsia="宋体" w:cs="宋体"/>
                <w:sz w:val="21"/>
                <w:szCs w:val="21"/>
              </w:rPr>
              <w:t>产品的出厂测试、验收试验项目、方法和要求按技术条件进行，技术条件须经任务提出方进行会签。</w:t>
            </w:r>
          </w:p>
          <w:p>
            <w:pPr>
              <w:pStyle w:val="6"/>
              <w:keepNext w:val="0"/>
              <w:keepLines w:val="0"/>
              <w:pageBreakBefore w:val="0"/>
              <w:widowControl w:val="0"/>
              <w:kinsoku/>
              <w:wordWrap/>
              <w:overflowPunct/>
              <w:topLinePunct w:val="0"/>
              <w:autoSpaceDE/>
              <w:autoSpaceDN/>
              <w:bidi w:val="0"/>
              <w:adjustRightInd w:val="0"/>
              <w:snapToGrid w:val="0"/>
              <w:spacing w:beforeLines="0" w:afterLines="0" w:line="288" w:lineRule="auto"/>
              <w:ind w:left="0" w:firstLine="0" w:firstLineChars="0"/>
              <w:textAlignment w:val="auto"/>
              <w:rPr>
                <w:rFonts w:hint="eastAsia" w:ascii="宋体" w:hAnsi="宋体" w:eastAsia="宋体" w:cs="宋体"/>
                <w:sz w:val="21"/>
                <w:szCs w:val="21"/>
              </w:rPr>
            </w:pPr>
            <w:r>
              <w:rPr>
                <w:rFonts w:hint="eastAsia" w:hAnsi="宋体" w:cs="宋体"/>
                <w:sz w:val="21"/>
                <w:szCs w:val="21"/>
                <w:lang w:val="en-US" w:eastAsia="zh-CN"/>
              </w:rPr>
              <w:t>17.2</w:t>
            </w:r>
            <w:r>
              <w:rPr>
                <w:rFonts w:hint="eastAsia" w:ascii="宋体" w:hAnsi="宋体" w:eastAsia="宋体" w:cs="宋体"/>
                <w:sz w:val="21"/>
                <w:szCs w:val="21"/>
              </w:rPr>
              <w:t>除非另有规定，所有检验都应在协议中规定的试验标准大气条件下进行，检验场所应无外加磁场。</w:t>
            </w:r>
          </w:p>
          <w:p>
            <w:pPr>
              <w:pStyle w:val="4"/>
              <w:keepNext w:val="0"/>
              <w:keepLines w:val="0"/>
              <w:pageBreakBefore w:val="0"/>
              <w:widowControl w:val="0"/>
              <w:tabs>
                <w:tab w:val="left" w:pos="576"/>
                <w:tab w:val="left" w:pos="927"/>
              </w:tabs>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二、</w:t>
            </w:r>
            <w:r>
              <w:rPr>
                <w:rFonts w:hint="eastAsia" w:ascii="宋体" w:hAnsi="宋体" w:eastAsia="宋体" w:cs="宋体"/>
                <w:sz w:val="21"/>
                <w:szCs w:val="21"/>
              </w:rPr>
              <w:t>配套</w:t>
            </w:r>
            <w:r>
              <w:rPr>
                <w:rFonts w:hint="eastAsia" w:ascii="宋体" w:hAnsi="宋体" w:cs="宋体"/>
                <w:sz w:val="21"/>
                <w:szCs w:val="21"/>
                <w:lang w:eastAsia="zh-CN"/>
              </w:rPr>
              <w:t>（一套产品包含）</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1、</w:t>
            </w:r>
            <w:r>
              <w:rPr>
                <w:rFonts w:hint="eastAsia" w:ascii="宋体" w:hAnsi="宋体" w:eastAsia="宋体" w:cs="宋体"/>
                <w:sz w:val="21"/>
                <w:szCs w:val="21"/>
              </w:rPr>
              <w:t>一体机1件</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2、</w:t>
            </w:r>
            <w:r>
              <w:rPr>
                <w:rFonts w:hint="eastAsia" w:ascii="宋体" w:hAnsi="宋体" w:eastAsia="宋体" w:cs="宋体"/>
                <w:sz w:val="21"/>
                <w:szCs w:val="21"/>
              </w:rPr>
              <w:t>一体机电缆1套</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3、</w:t>
            </w:r>
            <w:r>
              <w:rPr>
                <w:rFonts w:hint="eastAsia" w:ascii="宋体" w:hAnsi="宋体" w:eastAsia="宋体" w:cs="宋体"/>
                <w:sz w:val="21"/>
                <w:szCs w:val="21"/>
              </w:rPr>
              <w:t>包装箱1件</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4、</w:t>
            </w:r>
            <w:r>
              <w:rPr>
                <w:rFonts w:hint="eastAsia" w:ascii="宋体" w:hAnsi="宋体" w:eastAsia="宋体" w:cs="宋体"/>
                <w:sz w:val="21"/>
                <w:szCs w:val="21"/>
              </w:rPr>
              <w:t>产品合格证1份</w:t>
            </w:r>
          </w:p>
          <w:p>
            <w:pPr>
              <w:pStyle w:val="9"/>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5、</w:t>
            </w:r>
            <w:r>
              <w:rPr>
                <w:rFonts w:hint="eastAsia" w:ascii="宋体" w:hAnsi="宋体" w:eastAsia="宋体" w:cs="宋体"/>
                <w:sz w:val="21"/>
                <w:szCs w:val="21"/>
              </w:rPr>
              <w:t>使用说明书1份（每批次1份）</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288" w:lineRule="auto"/>
              <w:ind w:left="0" w:firstLine="0" w:firstLineChars="0"/>
              <w:textAlignment w:val="auto"/>
              <w:rPr>
                <w:rFonts w:hint="eastAsia" w:ascii="宋体" w:hAnsi="宋体" w:eastAsia="宋体" w:cs="宋体"/>
                <w:sz w:val="21"/>
                <w:szCs w:val="21"/>
              </w:rPr>
            </w:pPr>
            <w:r>
              <w:rPr>
                <w:rFonts w:hint="eastAsia" w:ascii="宋体" w:hAnsi="宋体" w:cs="宋体"/>
                <w:sz w:val="21"/>
                <w:szCs w:val="21"/>
                <w:lang w:val="en-US" w:eastAsia="zh-CN"/>
              </w:rPr>
              <w:t>三、</w:t>
            </w:r>
            <w:r>
              <w:rPr>
                <w:rFonts w:hint="eastAsia" w:ascii="宋体" w:hAnsi="宋体" w:eastAsia="宋体" w:cs="宋体"/>
                <w:sz w:val="21"/>
                <w:szCs w:val="21"/>
              </w:rPr>
              <w:t>使用环境</w:t>
            </w:r>
          </w:p>
          <w:p>
            <w:pPr>
              <w:pStyle w:val="6"/>
              <w:keepNext w:val="0"/>
              <w:keepLines w:val="0"/>
              <w:pageBreakBefore w:val="0"/>
              <w:widowControl w:val="0"/>
              <w:kinsoku/>
              <w:wordWrap/>
              <w:overflowPunct/>
              <w:topLinePunct w:val="0"/>
              <w:autoSpaceDE/>
              <w:autoSpaceDN/>
              <w:bidi w:val="0"/>
              <w:adjustRightInd w:val="0"/>
              <w:snapToGrid w:val="0"/>
              <w:spacing w:beforeLines="0" w:afterLines="0" w:line="288" w:lineRule="auto"/>
              <w:ind w:left="0" w:firstLine="0" w:firstLineChars="0"/>
              <w:textAlignment w:val="auto"/>
              <w:rPr>
                <w:rFonts w:hint="eastAsia" w:ascii="宋体" w:hAnsi="宋体" w:eastAsia="宋体" w:cs="宋体"/>
                <w:sz w:val="21"/>
                <w:szCs w:val="21"/>
              </w:rPr>
            </w:pPr>
            <w:r>
              <w:rPr>
                <w:rFonts w:hint="eastAsia" w:hAnsi="宋体" w:cs="宋体"/>
                <w:sz w:val="21"/>
                <w:szCs w:val="21"/>
                <w:lang w:val="en-US" w:eastAsia="zh-CN"/>
              </w:rPr>
              <w:t>1、</w:t>
            </w:r>
            <w:r>
              <w:rPr>
                <w:rFonts w:hint="eastAsia" w:ascii="宋体" w:hAnsi="宋体" w:eastAsia="宋体" w:cs="宋体"/>
                <w:sz w:val="21"/>
                <w:szCs w:val="21"/>
              </w:rPr>
              <w:t>存储温度：-50℃</w:t>
            </w:r>
            <w:r>
              <w:rPr>
                <w:rFonts w:hint="eastAsia" w:hAnsi="宋体" w:cs="宋体"/>
                <w:sz w:val="21"/>
                <w:szCs w:val="21"/>
                <w:lang w:val="en-US" w:eastAsia="zh-CN"/>
              </w:rPr>
              <w:t>~</w:t>
            </w:r>
            <w:r>
              <w:rPr>
                <w:rFonts w:hint="eastAsia" w:ascii="宋体" w:hAnsi="宋体" w:eastAsia="宋体" w:cs="宋体"/>
                <w:sz w:val="21"/>
                <w:szCs w:val="21"/>
              </w:rPr>
              <w:t>+60℃；</w:t>
            </w:r>
          </w:p>
          <w:p>
            <w:pPr>
              <w:pStyle w:val="6"/>
              <w:keepNext w:val="0"/>
              <w:keepLines w:val="0"/>
              <w:pageBreakBefore w:val="0"/>
              <w:widowControl w:val="0"/>
              <w:kinsoku/>
              <w:wordWrap/>
              <w:overflowPunct/>
              <w:topLinePunct w:val="0"/>
              <w:autoSpaceDE/>
              <w:autoSpaceDN/>
              <w:bidi w:val="0"/>
              <w:adjustRightInd w:val="0"/>
              <w:snapToGrid w:val="0"/>
              <w:spacing w:beforeLines="0" w:afterLines="0" w:line="288" w:lineRule="auto"/>
              <w:ind w:left="0" w:firstLine="0" w:firstLineChars="0"/>
              <w:textAlignment w:val="auto"/>
              <w:rPr>
                <w:rFonts w:hint="eastAsia" w:ascii="宋体" w:hAnsi="宋体" w:eastAsia="宋体" w:cs="宋体"/>
                <w:sz w:val="21"/>
                <w:szCs w:val="21"/>
              </w:rPr>
            </w:pPr>
            <w:r>
              <w:rPr>
                <w:rFonts w:hint="eastAsia" w:hAnsi="宋体" w:cs="宋体"/>
                <w:sz w:val="21"/>
                <w:szCs w:val="21"/>
                <w:lang w:val="en-US" w:eastAsia="zh-CN"/>
              </w:rPr>
              <w:t>2、</w:t>
            </w:r>
            <w:r>
              <w:rPr>
                <w:rFonts w:hint="eastAsia" w:ascii="宋体" w:hAnsi="宋体" w:eastAsia="宋体" w:cs="宋体"/>
                <w:sz w:val="21"/>
                <w:szCs w:val="21"/>
              </w:rPr>
              <w:t>使用温度：-50℃</w:t>
            </w:r>
            <w:r>
              <w:rPr>
                <w:rFonts w:hint="eastAsia" w:hAnsi="宋体" w:cs="宋体"/>
                <w:sz w:val="21"/>
                <w:szCs w:val="21"/>
                <w:lang w:val="en-US" w:eastAsia="zh-CN"/>
              </w:rPr>
              <w:t>~</w:t>
            </w:r>
            <w:r>
              <w:rPr>
                <w:rFonts w:hint="eastAsia" w:ascii="宋体" w:hAnsi="宋体" w:eastAsia="宋体" w:cs="宋体"/>
                <w:sz w:val="21"/>
                <w:szCs w:val="21"/>
              </w:rPr>
              <w:t>+55℃；</w:t>
            </w:r>
          </w:p>
          <w:p>
            <w:pPr>
              <w:keepNext w:val="0"/>
              <w:keepLines w:val="0"/>
              <w:pageBreakBefore w:val="0"/>
              <w:widowControl w:val="0"/>
              <w:kinsoku/>
              <w:wordWrap/>
              <w:overflowPunct/>
              <w:topLinePunct w:val="0"/>
              <w:autoSpaceDE/>
              <w:autoSpaceDN/>
              <w:bidi w:val="0"/>
              <w:adjustRightInd w:val="0"/>
              <w:snapToGrid w:val="0"/>
              <w:spacing w:line="288" w:lineRule="auto"/>
              <w:ind w:left="0" w:firstLine="0" w:firstLineChars="0"/>
              <w:jc w:val="left"/>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3、</w:t>
            </w:r>
            <w:r>
              <w:rPr>
                <w:rFonts w:hint="eastAsia" w:ascii="宋体" w:hAnsi="宋体" w:eastAsia="宋体" w:cs="宋体"/>
                <w:sz w:val="21"/>
                <w:szCs w:val="21"/>
              </w:rPr>
              <w:t>工作湿度：≤95％（+25℃）</w:t>
            </w:r>
            <w:r>
              <w:rPr>
                <w:rFonts w:hint="eastAsia" w:ascii="宋体" w:hAnsi="宋体" w:cs="宋体"/>
                <w:sz w:val="21"/>
                <w:szCs w:val="21"/>
                <w:lang w:eastAsia="zh-CN"/>
              </w:rPr>
              <w:t>。</w:t>
            </w:r>
          </w:p>
        </w:tc>
      </w:tr>
    </w:tbl>
    <w:p>
      <w:pPr>
        <w:adjustRightInd w:val="0"/>
        <w:snapToGrid w:val="0"/>
        <w:spacing w:line="288" w:lineRule="auto"/>
        <w:rPr>
          <w:rFonts w:ascii="宋体" w:hAnsi="宋体"/>
          <w:b/>
          <w:bCs/>
          <w:sz w:val="21"/>
          <w:szCs w:val="21"/>
        </w:rPr>
      </w:pPr>
    </w:p>
    <w:p>
      <w:bookmarkStart w:id="57" w:name="_GoBack"/>
      <w:bookmarkEnd w:id="5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5NmE3Zjc2YjhlM2EyNmZlNjdjM2VjZGM0YmQzMjAifQ=="/>
  </w:docVars>
  <w:rsids>
    <w:rsidRoot w:val="199824D1"/>
    <w:rsid w:val="19982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1"/>
    <w:semiHidden/>
    <w:unhideWhenUsed/>
    <w:qFormat/>
    <w:uiPriority w:val="99"/>
    <w:pPr>
      <w:spacing w:after="120"/>
    </w:pPr>
  </w:style>
  <w:style w:type="paragraph" w:styleId="6">
    <w:name w:val="Plain Text"/>
    <w:basedOn w:val="1"/>
    <w:qFormat/>
    <w:uiPriority w:val="0"/>
    <w:pPr>
      <w:spacing w:beforeLines="50" w:afterLines="50" w:line="400" w:lineRule="atLeast"/>
    </w:pPr>
    <w:rPr>
      <w:rFonts w:ascii="宋体" w:hAnsi="Courier New"/>
      <w:sz w:val="24"/>
    </w:rPr>
  </w:style>
  <w:style w:type="paragraph" w:customStyle="1" w:styleId="9">
    <w:name w:val="正文_new"/>
    <w:basedOn w:val="1"/>
    <w:qFormat/>
    <w:uiPriority w:val="0"/>
    <w:pPr>
      <w:spacing w:line="360" w:lineRule="auto"/>
      <w:ind w:firstLine="560" w:firstLineChars="200"/>
    </w:pPr>
    <w:rPr>
      <w:rFonts w:cs="宋体"/>
      <w:sz w:val="24"/>
      <w:szCs w:val="28"/>
    </w:rPr>
  </w:style>
  <w:style w:type="paragraph" w:customStyle="1" w:styleId="10">
    <w:name w:val="文档正文"/>
    <w:basedOn w:val="1"/>
    <w:qFormat/>
    <w:uiPriority w:val="0"/>
    <w:pPr>
      <w:spacing w:line="360" w:lineRule="auto"/>
      <w:ind w:firstLine="480" w:firstLineChars="200"/>
    </w:pPr>
    <w:rPr>
      <w:bCs/>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2023-04-21T08:21:00Z</dcterms:created>
  <dc:creator>qszbrenshixingzheng</dc:creator>
  <cp:lastModifiedBy>qszbrenshixingzheng</cp:lastModifiedBy>
  <dcterms:modified xsi:type="dcterms:W3CDTF">2023-04-21T08:22:28Z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838F53C10D9B4AA1828BCB953E79A496_11</vt:lpwstr>
  </property>
</Properties>
</file>