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outlineLvl w:val="0"/>
        <w:rPr>
          <w:rStyle w:val="5"/>
          <w:rFonts w:ascii="Times New Roman" w:hAnsi="Times New Roman" w:eastAsia="仿宋_GB2312"/>
          <w:b w:val="0"/>
          <w:bCs w:val="0"/>
          <w:sz w:val="32"/>
          <w:szCs w:val="32"/>
        </w:rPr>
      </w:pPr>
      <w:r>
        <w:rPr>
          <w:rStyle w:val="5"/>
          <w:rFonts w:ascii="Times New Roman" w:hAnsi="Times New Roman" w:eastAsia="仿宋_GB2312"/>
          <w:b w:val="0"/>
          <w:bCs w:val="0"/>
          <w:sz w:val="32"/>
          <w:szCs w:val="32"/>
        </w:rPr>
        <w:t>附件3:</w:t>
      </w:r>
    </w:p>
    <w:p>
      <w:pPr>
        <w:adjustRightInd w:val="0"/>
        <w:snapToGrid w:val="0"/>
        <w:spacing w:line="580" w:lineRule="exact"/>
        <w:jc w:val="center"/>
        <w:outlineLvl w:val="0"/>
        <w:rPr>
          <w:rFonts w:ascii="Times New Roman" w:hAnsi="Times New Roman" w:eastAsia="方正小标宋简体"/>
          <w:b/>
          <w:sz w:val="36"/>
          <w:szCs w:val="32"/>
        </w:rPr>
      </w:pPr>
      <w:r>
        <w:rPr>
          <w:rFonts w:ascii="Times New Roman" w:hAnsi="Times New Roman" w:eastAsia="方正小标宋简体"/>
          <w:b/>
          <w:sz w:val="36"/>
          <w:szCs w:val="32"/>
        </w:rPr>
        <w:t>展品类别</w:t>
      </w:r>
    </w:p>
    <w:p>
      <w:pPr>
        <w:adjustRightInd w:val="0"/>
        <w:snapToGrid w:val="0"/>
        <w:spacing w:line="580" w:lineRule="exact"/>
        <w:jc w:val="center"/>
        <w:outlineLvl w:val="0"/>
        <w:rPr>
          <w:rFonts w:ascii="Times New Roman" w:hAnsi="Times New Roman" w:eastAsia="华文中宋"/>
          <w:bCs/>
          <w:sz w:val="36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3" w:firstLineChars="200"/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实验室及科研仪器设备类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分析测试仪器 | 显微镜和光学图像处理 | 测试/检验检测仪器 | 实验室自动化 | 化学品及试剂 | 实验室设备及机械 | 实验台及家具 | 实验室技术服务 | 通用实验室仪器 | 科研仪器设备等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3" w:firstLineChars="200"/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信息化及智慧教育类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计算机 | 通信 | 服务器 | 交换机 | 网络与信息安全 | 综合布线 |  移动互联网相关产品 | 物联网相关技术与产品 | 云计算相关技术与产品 | 大数据相关技术与产品 | 虚拟仿真技术与虚拟实现系统 | 视听及显示设备 | 电子白板 | 数字语音教学系统 | 录播系统 | 视频会议系统 | 多媒体教室与智能教学空间整体解决方案 | 管理服务业务应用系统 | 智慧校园相关技术与产品 | 录播产品 | 慕课产品等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3" w:firstLineChars="200"/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实训及机电类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职业教育类 | 电工/电子/工艺 | 汽车维修与运用 | 智能楼宇 | 工业自动化装置 | 嵌入式系统 | 数控技术及机床 | 增材制造 | 机器人 | 3D打印 | 热工设备 | 木工机械 | 机电综合与创新 | 通用设备与工具等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3" w:firstLineChars="200"/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医学教育及健康类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医学模型 | 急救护理 | 临床/公卫教学设备 | 耗材 | 制药机械 | 医用标本 | 心理健康测评类产品 | 校园防疫类产品等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3" w:firstLineChars="200"/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后勤及平安校园类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文体用品 | 校用家具 | 校园基建类产品 | 后勤设备其它相关产品 |校园安全 | 净化设备 | 通风设备 | 物流及快递相关等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3" w:firstLineChars="200"/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体育设施及用品类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场馆设施类 | 场地营造及地坪 | 运动休闲用品 | 运动服饰 | 健身器材及用品 | 运动康复康体器材 | 球类、羽网运动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265071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  <w:jc w:val="center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73149"/>
    <w:multiLevelType w:val="singleLevel"/>
    <w:tmpl w:val="2847314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zJkMDJmOGIzN2ZhNTcyNDMzMDZlOWFjNmYzNmIifQ=="/>
  </w:docVars>
  <w:rsids>
    <w:rsidRoot w:val="787D3AF5"/>
    <w:rsid w:val="787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2022-12-12T03:21:00Z</dcterms:created>
  <dc:creator>asus</dc:creator>
  <cp:lastModifiedBy>asus</cp:lastModifiedBy>
  <dcterms:modified xsi:type="dcterms:W3CDTF">2022-12-12T03:22:12Z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6EF1BCA40981448FAA42D6C93E2ED317</vt:lpwstr>
  </property>
</Properties>
</file>